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3" w:tblpY="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1885"/>
      </w:tblGrid>
      <w:tr w:rsidR="00EF3195" w:rsidRPr="00736820" w:rsidTr="00687CA3">
        <w:trPr>
          <w:trHeight w:val="11340"/>
        </w:trPr>
        <w:tc>
          <w:tcPr>
            <w:tcW w:w="1885" w:type="dxa"/>
          </w:tcPr>
          <w:p w:rsidR="00EF3195" w:rsidRPr="00736820" w:rsidRDefault="00EF3195" w:rsidP="00687CA3">
            <w:pPr>
              <w:spacing w:before="40" w:after="40"/>
              <w:ind w:left="-23" w:hanging="90"/>
              <w:rPr>
                <w:rFonts w:ascii="Arial" w:hAnsi="Arial" w:cs="Arial"/>
                <w:b/>
                <w:sz w:val="16"/>
                <w:szCs w:val="16"/>
              </w:rPr>
            </w:pPr>
            <w:r>
              <w:rPr>
                <w:rFonts w:ascii="Arial" w:hAnsi="Arial" w:cs="Arial"/>
                <w:b/>
                <w:sz w:val="16"/>
                <w:szCs w:val="16"/>
              </w:rPr>
              <w:t>Lauren Siciliano</w:t>
            </w:r>
          </w:p>
          <w:p w:rsidR="00EF3195" w:rsidRPr="00736820" w:rsidRDefault="00EF3195" w:rsidP="00687CA3">
            <w:pPr>
              <w:spacing w:before="40" w:after="40"/>
              <w:ind w:left="-108"/>
              <w:rPr>
                <w:rFonts w:ascii="Arial" w:hAnsi="Arial" w:cs="Arial"/>
                <w:sz w:val="16"/>
                <w:szCs w:val="16"/>
              </w:rPr>
            </w:pPr>
            <w:r>
              <w:rPr>
                <w:rFonts w:ascii="Arial" w:hAnsi="Arial" w:cs="Arial"/>
                <w:sz w:val="16"/>
                <w:szCs w:val="16"/>
              </w:rPr>
              <w:t>Deputy Chief Operating Officer</w:t>
            </w:r>
          </w:p>
          <w:p w:rsidR="00EF3195" w:rsidRPr="00736820" w:rsidRDefault="00EF3195" w:rsidP="00687CA3">
            <w:pPr>
              <w:spacing w:before="40" w:after="40"/>
              <w:ind w:left="-108"/>
              <w:rPr>
                <w:rFonts w:ascii="Arial" w:hAnsi="Arial" w:cs="Arial"/>
                <w:sz w:val="16"/>
                <w:szCs w:val="16"/>
              </w:rPr>
            </w:pPr>
            <w:r>
              <w:rPr>
                <w:rFonts w:ascii="Arial" w:hAnsi="Arial" w:cs="Arial"/>
                <w:sz w:val="16"/>
                <w:szCs w:val="16"/>
              </w:rPr>
              <w:t>Department of Education</w:t>
            </w:r>
          </w:p>
          <w:p w:rsidR="00EF3195" w:rsidRPr="00736820" w:rsidRDefault="00EF3195" w:rsidP="00687CA3">
            <w:pPr>
              <w:autoSpaceDE w:val="0"/>
              <w:autoSpaceDN w:val="0"/>
              <w:adjustRightInd w:val="0"/>
              <w:spacing w:before="40" w:after="40"/>
              <w:ind w:left="-108"/>
              <w:rPr>
                <w:rFonts w:ascii="Arial-BoldMT" w:hAnsi="Arial-BoldMT" w:cs="Arial-BoldMT"/>
                <w:b/>
                <w:bCs/>
                <w:sz w:val="16"/>
                <w:szCs w:val="16"/>
              </w:rPr>
            </w:pPr>
          </w:p>
          <w:p w:rsidR="00EF3195" w:rsidRPr="00736820" w:rsidRDefault="00EF3195" w:rsidP="00687CA3">
            <w:pPr>
              <w:autoSpaceDE w:val="0"/>
              <w:autoSpaceDN w:val="0"/>
              <w:adjustRightInd w:val="0"/>
              <w:spacing w:before="40" w:after="40"/>
              <w:ind w:left="-108"/>
              <w:rPr>
                <w:rFonts w:ascii="Arial-BoldMT" w:hAnsi="Arial-BoldMT" w:cs="Arial-BoldMT"/>
                <w:b/>
                <w:bCs/>
                <w:sz w:val="16"/>
                <w:szCs w:val="16"/>
              </w:rPr>
            </w:pPr>
            <w:r w:rsidRPr="00736820">
              <w:rPr>
                <w:rFonts w:ascii="Arial-BoldMT" w:hAnsi="Arial-BoldMT" w:cs="Arial-BoldMT"/>
                <w:b/>
                <w:bCs/>
                <w:sz w:val="16"/>
                <w:szCs w:val="16"/>
              </w:rPr>
              <w:t>52 Chambers Street</w:t>
            </w:r>
          </w:p>
          <w:p w:rsidR="00EF3195" w:rsidRPr="00736820" w:rsidRDefault="00EF3195" w:rsidP="00687CA3">
            <w:pPr>
              <w:autoSpaceDE w:val="0"/>
              <w:autoSpaceDN w:val="0"/>
              <w:adjustRightInd w:val="0"/>
              <w:spacing w:before="40" w:after="40"/>
              <w:ind w:left="-108"/>
              <w:rPr>
                <w:rFonts w:ascii="Arial" w:hAnsi="Arial" w:cs="Arial"/>
                <w:b/>
                <w:sz w:val="16"/>
                <w:szCs w:val="16"/>
              </w:rPr>
            </w:pPr>
            <w:r w:rsidRPr="00736820">
              <w:rPr>
                <w:rFonts w:ascii="Arial" w:hAnsi="Arial" w:cs="Arial"/>
                <w:b/>
                <w:sz w:val="16"/>
                <w:szCs w:val="16"/>
              </w:rPr>
              <w:t>New York, NY 10007</w:t>
            </w:r>
          </w:p>
          <w:p w:rsidR="00EF3195" w:rsidRPr="00736820" w:rsidRDefault="00EF3195" w:rsidP="00687CA3">
            <w:pPr>
              <w:autoSpaceDE w:val="0"/>
              <w:autoSpaceDN w:val="0"/>
              <w:adjustRightInd w:val="0"/>
              <w:ind w:left="-108"/>
              <w:rPr>
                <w:rFonts w:ascii="ArialMT" w:hAnsi="ArialMT" w:cs="ArialMT"/>
                <w:b/>
                <w:sz w:val="16"/>
                <w:szCs w:val="16"/>
              </w:rPr>
            </w:pPr>
          </w:p>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p w:rsidR="00EF3195" w:rsidRPr="00736820" w:rsidRDefault="00EF3195" w:rsidP="00687CA3">
            <w:r w:rsidRPr="00736820">
              <w:t xml:space="preserve"> </w:t>
            </w:r>
          </w:p>
        </w:tc>
      </w:tr>
    </w:tbl>
    <w:p w:rsidR="00371CE9" w:rsidRPr="008D332C" w:rsidRDefault="00371CE9" w:rsidP="00371CE9">
      <w:pPr>
        <w:spacing w:after="160" w:line="259" w:lineRule="auto"/>
        <w:rPr>
          <w:rFonts w:ascii="Calibri" w:eastAsia="Calibri" w:hAnsi="Calibri"/>
          <w:b/>
          <w:sz w:val="22"/>
          <w:szCs w:val="22"/>
        </w:rPr>
      </w:pPr>
      <w:r>
        <w:rPr>
          <w:rFonts w:ascii="Calibri" w:eastAsia="Calibri" w:hAnsi="Calibri"/>
          <w:b/>
          <w:sz w:val="22"/>
          <w:szCs w:val="22"/>
        </w:rPr>
        <w:t>November 26, 2018</w:t>
      </w:r>
    </w:p>
    <w:p w:rsidR="00371CE9" w:rsidRPr="008D332C" w:rsidRDefault="00371CE9" w:rsidP="00371CE9">
      <w:pPr>
        <w:spacing w:after="160" w:line="259" w:lineRule="auto"/>
        <w:rPr>
          <w:rFonts w:ascii="Calibri" w:eastAsia="Calibri" w:hAnsi="Calibri"/>
          <w:sz w:val="22"/>
          <w:szCs w:val="22"/>
        </w:rPr>
      </w:pPr>
      <w:r w:rsidRPr="008D332C">
        <w:rPr>
          <w:rFonts w:ascii="Calibri" w:eastAsia="Calibri" w:hAnsi="Calibri"/>
          <w:sz w:val="22"/>
          <w:szCs w:val="22"/>
        </w:rPr>
        <w:t xml:space="preserve">Dear Families and Staff: </w:t>
      </w:r>
    </w:p>
    <w:p w:rsidR="00371CE9" w:rsidRPr="00C3089A" w:rsidRDefault="00371CE9" w:rsidP="00371CE9">
      <w:pPr>
        <w:spacing w:after="160" w:line="259" w:lineRule="auto"/>
        <w:rPr>
          <w:rFonts w:ascii="Calibri" w:eastAsia="Calibri" w:hAnsi="Calibri"/>
          <w:sz w:val="22"/>
          <w:szCs w:val="22"/>
        </w:rPr>
      </w:pPr>
      <w:r w:rsidRPr="00C3089A">
        <w:rPr>
          <w:rFonts w:ascii="Calibri" w:eastAsia="Calibri" w:hAnsi="Calibri"/>
          <w:sz w:val="22"/>
          <w:szCs w:val="22"/>
        </w:rPr>
        <w:t xml:space="preserve">This is a follow up to </w:t>
      </w:r>
      <w:r>
        <w:rPr>
          <w:rFonts w:ascii="Calibri" w:eastAsia="Calibri" w:hAnsi="Calibri"/>
          <w:sz w:val="22"/>
          <w:szCs w:val="22"/>
        </w:rPr>
        <w:t>a</w:t>
      </w:r>
      <w:r w:rsidRPr="00C3089A">
        <w:rPr>
          <w:rFonts w:ascii="Calibri" w:eastAsia="Calibri" w:hAnsi="Calibri"/>
          <w:sz w:val="22"/>
          <w:szCs w:val="22"/>
        </w:rPr>
        <w:t xml:space="preserve"> September letter informing you that your school’s operational water fixtures </w:t>
      </w:r>
      <w:proofErr w:type="gramStart"/>
      <w:r w:rsidRPr="00C3089A">
        <w:rPr>
          <w:rFonts w:ascii="Calibri" w:eastAsia="Calibri" w:hAnsi="Calibri"/>
          <w:sz w:val="22"/>
          <w:szCs w:val="22"/>
        </w:rPr>
        <w:t>would be tested</w:t>
      </w:r>
      <w:proofErr w:type="gramEnd"/>
      <w:r w:rsidRPr="00C3089A">
        <w:rPr>
          <w:rFonts w:ascii="Calibri" w:eastAsia="Calibri" w:hAnsi="Calibri"/>
          <w:sz w:val="22"/>
          <w:szCs w:val="22"/>
        </w:rPr>
        <w:t xml:space="preserve"> for the presence of lead in 2018.  </w:t>
      </w:r>
    </w:p>
    <w:p w:rsidR="00371CE9" w:rsidRPr="00C3089A" w:rsidRDefault="00371CE9" w:rsidP="00371CE9">
      <w:pPr>
        <w:spacing w:after="160" w:line="259" w:lineRule="auto"/>
        <w:rPr>
          <w:rFonts w:ascii="Calibri" w:eastAsia="Calibri" w:hAnsi="Calibri"/>
          <w:b/>
          <w:bCs/>
          <w:sz w:val="22"/>
          <w:szCs w:val="22"/>
        </w:rPr>
      </w:pPr>
      <w:r w:rsidRPr="00C3089A">
        <w:rPr>
          <w:rFonts w:ascii="Calibri" w:eastAsia="Calibri" w:hAnsi="Calibri"/>
          <w:sz w:val="22"/>
          <w:szCs w:val="22"/>
        </w:rPr>
        <w:t xml:space="preserve">On </w:t>
      </w:r>
      <w:r w:rsidRPr="00114856">
        <w:rPr>
          <w:rFonts w:ascii="Calibri" w:eastAsia="Calibri" w:hAnsi="Calibri"/>
          <w:b/>
          <w:noProof/>
          <w:sz w:val="22"/>
          <w:szCs w:val="22"/>
        </w:rPr>
        <w:t>10/23/2018</w:t>
      </w:r>
      <w:r w:rsidRPr="00C3089A">
        <w:rPr>
          <w:rFonts w:ascii="Calibri" w:eastAsia="Calibri" w:hAnsi="Calibri"/>
          <w:sz w:val="22"/>
          <w:szCs w:val="22"/>
        </w:rPr>
        <w:t xml:space="preserve">, all operational sources of water at </w:t>
      </w:r>
      <w:r w:rsidRPr="00114856">
        <w:rPr>
          <w:rFonts w:ascii="Calibri" w:eastAsia="Calibri" w:hAnsi="Calibri"/>
          <w:b/>
          <w:bCs/>
          <w:noProof/>
          <w:sz w:val="22"/>
          <w:szCs w:val="22"/>
        </w:rPr>
        <w:t>P.S. 42 - Manhattan</w:t>
      </w:r>
      <w:r>
        <w:rPr>
          <w:rFonts w:ascii="Calibri" w:eastAsia="Calibri" w:hAnsi="Calibri"/>
          <w:b/>
          <w:bCs/>
          <w:sz w:val="22"/>
          <w:szCs w:val="22"/>
        </w:rPr>
        <w:t xml:space="preserve"> </w:t>
      </w:r>
      <w:r w:rsidRPr="00114856">
        <w:rPr>
          <w:rFonts w:ascii="Calibri" w:eastAsia="Calibri" w:hAnsi="Calibri"/>
          <w:b/>
          <w:bCs/>
          <w:noProof/>
          <w:sz w:val="22"/>
          <w:szCs w:val="22"/>
        </w:rPr>
        <w:t>(P.S. 042 Benjamin Altman at 71 Hester Street, Manhattan, NY 10002)</w:t>
      </w:r>
      <w:r w:rsidRPr="00C3089A">
        <w:rPr>
          <w:rFonts w:ascii="Calibri" w:eastAsia="Calibri" w:hAnsi="Calibri"/>
          <w:sz w:val="22"/>
          <w:szCs w:val="22"/>
        </w:rPr>
        <w:t xml:space="preserve">, including for drinking or cooking, were tested for the presence of lead. The laboratory results showed elevated levels of lead in </w:t>
      </w:r>
      <w:r w:rsidRPr="00114856">
        <w:rPr>
          <w:rFonts w:ascii="Calibri" w:eastAsia="Calibri" w:hAnsi="Calibri"/>
          <w:b/>
          <w:bCs/>
          <w:noProof/>
          <w:sz w:val="22"/>
          <w:szCs w:val="22"/>
        </w:rPr>
        <w:t>4</w:t>
      </w:r>
      <w:r w:rsidRPr="00C3089A">
        <w:rPr>
          <w:rFonts w:ascii="Calibri" w:eastAsia="Calibri" w:hAnsi="Calibri"/>
          <w:b/>
          <w:bCs/>
          <w:sz w:val="22"/>
          <w:szCs w:val="22"/>
        </w:rPr>
        <w:t xml:space="preserve"> of the </w:t>
      </w:r>
      <w:r w:rsidRPr="00114856">
        <w:rPr>
          <w:rFonts w:ascii="Calibri" w:eastAsia="Calibri" w:hAnsi="Calibri"/>
          <w:b/>
          <w:bCs/>
          <w:noProof/>
          <w:sz w:val="22"/>
          <w:szCs w:val="22"/>
        </w:rPr>
        <w:t>61</w:t>
      </w:r>
      <w:r w:rsidRPr="00C3089A">
        <w:rPr>
          <w:rFonts w:ascii="Calibri" w:eastAsia="Calibri" w:hAnsi="Calibri"/>
          <w:b/>
          <w:bCs/>
          <w:sz w:val="22"/>
          <w:szCs w:val="22"/>
        </w:rPr>
        <w:t xml:space="preserve"> </w:t>
      </w:r>
      <w:r w:rsidRPr="00C3089A">
        <w:rPr>
          <w:rFonts w:ascii="Calibri" w:eastAsia="Calibri" w:hAnsi="Calibri"/>
          <w:bCs/>
          <w:sz w:val="22"/>
          <w:szCs w:val="22"/>
        </w:rPr>
        <w:t>fixtures</w:t>
      </w:r>
      <w:r w:rsidRPr="00C3089A">
        <w:rPr>
          <w:rFonts w:ascii="Calibri" w:eastAsia="Calibri" w:hAnsi="Calibri"/>
          <w:b/>
          <w:bCs/>
          <w:sz w:val="22"/>
          <w:szCs w:val="22"/>
        </w:rPr>
        <w:t xml:space="preserve"> </w:t>
      </w:r>
      <w:r w:rsidRPr="00C3089A">
        <w:rPr>
          <w:rFonts w:ascii="Calibri" w:eastAsia="Calibri" w:hAnsi="Calibri"/>
          <w:bCs/>
          <w:sz w:val="22"/>
          <w:szCs w:val="22"/>
        </w:rPr>
        <w:t xml:space="preserve">from which water </w:t>
      </w:r>
      <w:proofErr w:type="gramStart"/>
      <w:r w:rsidRPr="00C3089A">
        <w:rPr>
          <w:rFonts w:ascii="Calibri" w:eastAsia="Calibri" w:hAnsi="Calibri"/>
          <w:bCs/>
          <w:sz w:val="22"/>
          <w:szCs w:val="22"/>
        </w:rPr>
        <w:t>was taken and tested</w:t>
      </w:r>
      <w:proofErr w:type="gramEnd"/>
      <w:r w:rsidRPr="00C3089A">
        <w:rPr>
          <w:rFonts w:ascii="Calibri" w:eastAsia="Calibri" w:hAnsi="Calibri"/>
          <w:sz w:val="22"/>
          <w:szCs w:val="22"/>
        </w:rPr>
        <w:t xml:space="preserve">. Any drinking or cooking fixture with elevated levels </w:t>
      </w:r>
      <w:proofErr w:type="gramStart"/>
      <w:r w:rsidRPr="00C3089A">
        <w:rPr>
          <w:rFonts w:ascii="Calibri" w:eastAsia="Calibri" w:hAnsi="Calibri"/>
          <w:sz w:val="22"/>
          <w:szCs w:val="22"/>
        </w:rPr>
        <w:t>was immediately taken</w:t>
      </w:r>
      <w:proofErr w:type="gramEnd"/>
      <w:r w:rsidRPr="00C3089A">
        <w:rPr>
          <w:rFonts w:ascii="Calibri" w:eastAsia="Calibri" w:hAnsi="Calibri"/>
          <w:sz w:val="22"/>
          <w:szCs w:val="22"/>
        </w:rPr>
        <w:t xml:space="preserve"> offline, and will remain offline until it is successfully remediated. Details of elevated results </w:t>
      </w:r>
      <w:proofErr w:type="gramStart"/>
      <w:r w:rsidRPr="00C3089A">
        <w:rPr>
          <w:rFonts w:ascii="Calibri" w:eastAsia="Calibri" w:hAnsi="Calibri"/>
          <w:sz w:val="22"/>
          <w:szCs w:val="22"/>
        </w:rPr>
        <w:t>are attached</w:t>
      </w:r>
      <w:proofErr w:type="gramEnd"/>
      <w:r w:rsidRPr="00C3089A">
        <w:rPr>
          <w:rFonts w:ascii="Calibri" w:eastAsia="Calibri" w:hAnsi="Calibri"/>
          <w:sz w:val="22"/>
          <w:szCs w:val="22"/>
        </w:rPr>
        <w:t xml:space="preserve"> and complete test results are posted on the DOE website at </w:t>
      </w:r>
      <w:r w:rsidRPr="00114856">
        <w:rPr>
          <w:rFonts w:ascii="Calibri" w:eastAsia="Calibri" w:hAnsi="Calibri"/>
          <w:noProof/>
          <w:color w:val="0070C0"/>
          <w:sz w:val="22"/>
          <w:szCs w:val="22"/>
          <w:u w:val="single"/>
        </w:rPr>
        <w:t>https://www.schools.nyc.gov/schools/M042</w:t>
      </w:r>
      <w:r w:rsidRPr="00C3089A">
        <w:rPr>
          <w:rFonts w:ascii="Calibri" w:eastAsia="Calibri" w:hAnsi="Calibri"/>
          <w:sz w:val="22"/>
          <w:szCs w:val="22"/>
        </w:rPr>
        <w:t>. Click “Data and Reports” and look for the “Facilities”</w:t>
      </w:r>
      <w:r w:rsidRPr="00C3089A">
        <w:rPr>
          <w:rFonts w:ascii="Calibri" w:eastAsia="Calibri" w:hAnsi="Calibri"/>
          <w:b/>
          <w:bCs/>
          <w:sz w:val="22"/>
          <w:szCs w:val="22"/>
        </w:rPr>
        <w:t xml:space="preserve"> </w:t>
      </w:r>
      <w:r w:rsidRPr="00C3089A">
        <w:rPr>
          <w:rFonts w:ascii="Calibri" w:eastAsia="Calibri" w:hAnsi="Calibri"/>
          <w:sz w:val="22"/>
          <w:szCs w:val="22"/>
        </w:rPr>
        <w:t>heading.</w:t>
      </w:r>
    </w:p>
    <w:p w:rsidR="00371CE9" w:rsidRPr="00C3089A" w:rsidRDefault="00371CE9" w:rsidP="00371CE9">
      <w:pPr>
        <w:spacing w:after="160" w:line="259" w:lineRule="auto"/>
        <w:rPr>
          <w:rFonts w:ascii="Calibri" w:eastAsia="Calibri" w:hAnsi="Calibri"/>
          <w:sz w:val="22"/>
          <w:szCs w:val="22"/>
        </w:rPr>
      </w:pPr>
      <w:r w:rsidRPr="00C3089A">
        <w:rPr>
          <w:rFonts w:ascii="Calibri" w:eastAsia="Calibri" w:hAnsi="Calibri"/>
          <w:sz w:val="22"/>
          <w:szCs w:val="22"/>
        </w:rPr>
        <w:t xml:space="preserve">The test results include water fixtures that </w:t>
      </w:r>
      <w:proofErr w:type="gramStart"/>
      <w:r w:rsidRPr="00C3089A">
        <w:rPr>
          <w:rFonts w:ascii="Calibri" w:eastAsia="Calibri" w:hAnsi="Calibri"/>
          <w:sz w:val="22"/>
          <w:szCs w:val="22"/>
        </w:rPr>
        <w:t>are not used</w:t>
      </w:r>
      <w:proofErr w:type="gramEnd"/>
      <w:r w:rsidRPr="00C3089A">
        <w:rPr>
          <w:rFonts w:ascii="Calibri" w:eastAsia="Calibri" w:hAnsi="Calibri"/>
          <w:sz w:val="22"/>
          <w:szCs w:val="22"/>
        </w:rPr>
        <w:t xml:space="preserve"> for drinking or cooking, including handwashing sinks. Sinks will have clear signs indicating “Hand Washing Only” and “Not for Drinking Use.” The custodial staff will flush the </w:t>
      </w:r>
      <w:r w:rsidRPr="00114856">
        <w:rPr>
          <w:rFonts w:ascii="Calibri" w:eastAsia="Calibri" w:hAnsi="Calibri"/>
          <w:b/>
          <w:bCs/>
          <w:noProof/>
          <w:sz w:val="22"/>
          <w:szCs w:val="22"/>
        </w:rPr>
        <w:t>P.S. 42 - Manhattan</w:t>
      </w:r>
      <w:r>
        <w:rPr>
          <w:rFonts w:ascii="Calibri" w:eastAsia="Calibri" w:hAnsi="Calibri"/>
          <w:b/>
          <w:bCs/>
          <w:sz w:val="22"/>
          <w:szCs w:val="22"/>
        </w:rPr>
        <w:t xml:space="preserve"> </w:t>
      </w:r>
      <w:r w:rsidRPr="00C3089A">
        <w:rPr>
          <w:rFonts w:ascii="Calibri" w:eastAsia="Calibri" w:hAnsi="Calibri"/>
          <w:sz w:val="22"/>
          <w:szCs w:val="22"/>
        </w:rPr>
        <w:t xml:space="preserve">water systems on Monday mornings and after holidays before school starts, in order to eliminate water that has been stagnant in pipes over the weekend. This is part of our robust protocol to ensure safe drinking water is available for students and staff. </w:t>
      </w:r>
    </w:p>
    <w:p w:rsidR="00371CE9" w:rsidRPr="00C3089A" w:rsidRDefault="00371CE9" w:rsidP="00371CE9">
      <w:pPr>
        <w:spacing w:after="160" w:line="259" w:lineRule="auto"/>
        <w:rPr>
          <w:rFonts w:ascii="Calibri" w:eastAsia="Calibri" w:hAnsi="Calibri"/>
          <w:sz w:val="22"/>
          <w:szCs w:val="22"/>
        </w:rPr>
      </w:pPr>
      <w:r w:rsidRPr="00C3089A">
        <w:rPr>
          <w:rFonts w:ascii="Calibri" w:eastAsia="Calibri" w:hAnsi="Calibri"/>
          <w:sz w:val="22"/>
          <w:szCs w:val="22"/>
        </w:rPr>
        <w:t xml:space="preserve">Please visit </w:t>
      </w:r>
      <w:hyperlink r:id="rId6" w:history="1">
        <w:r w:rsidRPr="00C3089A">
          <w:rPr>
            <w:rStyle w:val="Hyperlink"/>
            <w:rFonts w:ascii="Calibri" w:eastAsia="Calibri" w:hAnsi="Calibri"/>
            <w:sz w:val="22"/>
            <w:szCs w:val="22"/>
          </w:rPr>
          <w:t>https://www.schools.nyc.gov/about-us/reports/water-safety</w:t>
        </w:r>
      </w:hyperlink>
      <w:r w:rsidRPr="00C3089A">
        <w:rPr>
          <w:rFonts w:ascii="Calibri" w:eastAsia="Calibri" w:hAnsi="Calibri"/>
          <w:sz w:val="22"/>
          <w:szCs w:val="22"/>
        </w:rPr>
        <w:t xml:space="preserve"> to learn more about the protocol we use to ensure the safety of drinking water in </w:t>
      </w:r>
      <w:proofErr w:type="gramStart"/>
      <w:r w:rsidRPr="00C3089A">
        <w:rPr>
          <w:rFonts w:ascii="Calibri" w:eastAsia="Calibri" w:hAnsi="Calibri"/>
          <w:sz w:val="22"/>
          <w:szCs w:val="22"/>
        </w:rPr>
        <w:t>each and every</w:t>
      </w:r>
      <w:proofErr w:type="gramEnd"/>
      <w:r w:rsidRPr="00C3089A">
        <w:rPr>
          <w:rFonts w:ascii="Calibri" w:eastAsia="Calibri" w:hAnsi="Calibri"/>
          <w:sz w:val="22"/>
          <w:szCs w:val="22"/>
        </w:rPr>
        <w:t xml:space="preserve"> school. </w:t>
      </w:r>
    </w:p>
    <w:p w:rsidR="00371CE9" w:rsidRPr="00C3089A" w:rsidRDefault="00371CE9" w:rsidP="00371CE9">
      <w:pPr>
        <w:spacing w:after="160" w:line="259" w:lineRule="auto"/>
        <w:rPr>
          <w:rFonts w:ascii="Calibri" w:eastAsia="Calibri" w:hAnsi="Calibri"/>
          <w:sz w:val="22"/>
          <w:szCs w:val="22"/>
        </w:rPr>
      </w:pPr>
      <w:r w:rsidRPr="00C3089A">
        <w:rPr>
          <w:rFonts w:ascii="Calibri" w:eastAsia="Calibri" w:hAnsi="Calibri"/>
          <w:sz w:val="22"/>
          <w:szCs w:val="22"/>
        </w:rPr>
        <w:t xml:space="preserve">We will keep you updated on the remediation work at </w:t>
      </w:r>
      <w:r w:rsidRPr="00114856">
        <w:rPr>
          <w:rFonts w:ascii="Calibri" w:eastAsia="Calibri" w:hAnsi="Calibri"/>
          <w:b/>
          <w:bCs/>
          <w:noProof/>
          <w:sz w:val="22"/>
          <w:szCs w:val="22"/>
        </w:rPr>
        <w:t>P.S. 42 - Manhattan</w:t>
      </w:r>
      <w:r w:rsidRPr="00C3089A">
        <w:rPr>
          <w:rFonts w:ascii="Calibri" w:eastAsia="Calibri" w:hAnsi="Calibri"/>
          <w:sz w:val="22"/>
          <w:szCs w:val="22"/>
        </w:rPr>
        <w:t xml:space="preserve">, and thank you for your patience and support. </w:t>
      </w:r>
    </w:p>
    <w:p w:rsidR="00371CE9" w:rsidRDefault="00371CE9" w:rsidP="00371CE9">
      <w:pPr>
        <w:spacing w:after="160" w:line="259" w:lineRule="auto"/>
        <w:rPr>
          <w:rFonts w:ascii="Calibri" w:eastAsia="Calibri" w:hAnsi="Calibri"/>
          <w:sz w:val="22"/>
          <w:szCs w:val="22"/>
        </w:rPr>
      </w:pPr>
      <w:r w:rsidRPr="008D332C">
        <w:rPr>
          <w:rFonts w:ascii="Calibri" w:eastAsia="Calibri" w:hAnsi="Calibri"/>
          <w:sz w:val="22"/>
          <w:szCs w:val="22"/>
        </w:rPr>
        <w:t>Sincerely</w:t>
      </w:r>
      <w:r>
        <w:rPr>
          <w:rFonts w:ascii="Calibri" w:eastAsia="Calibri" w:hAnsi="Calibri"/>
          <w:sz w:val="22"/>
          <w:szCs w:val="22"/>
        </w:rPr>
        <w:t xml:space="preserve"> yours</w:t>
      </w:r>
      <w:r w:rsidRPr="008D332C">
        <w:rPr>
          <w:rFonts w:ascii="Calibri" w:eastAsia="Calibri" w:hAnsi="Calibri"/>
          <w:sz w:val="22"/>
          <w:szCs w:val="22"/>
        </w:rPr>
        <w:t xml:space="preserve">, </w:t>
      </w:r>
    </w:p>
    <w:p w:rsidR="00371CE9" w:rsidRPr="008D332C" w:rsidRDefault="00371CE9" w:rsidP="00371CE9">
      <w:pPr>
        <w:spacing w:after="160" w:line="259" w:lineRule="auto"/>
        <w:rPr>
          <w:rFonts w:ascii="Calibri" w:eastAsia="Calibri" w:hAnsi="Calibri"/>
          <w:sz w:val="22"/>
          <w:szCs w:val="22"/>
        </w:rPr>
      </w:pPr>
      <w:r>
        <w:rPr>
          <w:rFonts w:ascii="Calibri" w:eastAsia="Calibri" w:hAnsi="Calibri"/>
          <w:noProof/>
          <w:sz w:val="22"/>
          <w:szCs w:val="22"/>
        </w:rPr>
        <w:drawing>
          <wp:inline distT="0" distB="0" distL="0" distR="0" wp14:anchorId="696510DD" wp14:editId="6544DFBA">
            <wp:extent cx="1381125" cy="380041"/>
            <wp:effectExtent l="0" t="0" r="0" b="127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 E SI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5360" cy="392213"/>
                    </a:xfrm>
                    <a:prstGeom prst="rect">
                      <a:avLst/>
                    </a:prstGeom>
                  </pic:spPr>
                </pic:pic>
              </a:graphicData>
            </a:graphic>
          </wp:inline>
        </w:drawing>
      </w:r>
    </w:p>
    <w:p w:rsidR="00371CE9" w:rsidRPr="008D332C" w:rsidRDefault="00371CE9" w:rsidP="00371CE9">
      <w:pPr>
        <w:spacing w:after="160" w:line="259" w:lineRule="auto"/>
        <w:rPr>
          <w:rFonts w:ascii="Calibri" w:eastAsia="Calibri" w:hAnsi="Calibri"/>
          <w:sz w:val="22"/>
          <w:szCs w:val="22"/>
        </w:rPr>
      </w:pPr>
      <w:r>
        <w:rPr>
          <w:rFonts w:ascii="Calibri" w:eastAsia="Calibri" w:hAnsi="Calibri"/>
          <w:sz w:val="22"/>
          <w:szCs w:val="22"/>
        </w:rPr>
        <w:t xml:space="preserve">Lauren Siciliano </w:t>
      </w:r>
    </w:p>
    <w:p w:rsidR="00371CE9" w:rsidRDefault="00371CE9" w:rsidP="00371CE9">
      <w:pPr>
        <w:spacing w:after="160" w:line="259" w:lineRule="auto"/>
        <w:rPr>
          <w:rFonts w:ascii="Arial" w:hAnsi="Arial" w:cs="Arial"/>
          <w:sz w:val="20"/>
          <w:szCs w:val="20"/>
        </w:rPr>
      </w:pPr>
      <w:r>
        <w:rPr>
          <w:rFonts w:ascii="Arial" w:hAnsi="Arial" w:cs="Arial"/>
          <w:sz w:val="20"/>
          <w:szCs w:val="20"/>
        </w:rPr>
        <w:br w:type="page"/>
      </w:r>
    </w:p>
    <w:p w:rsidR="00371CE9" w:rsidRPr="00987A04" w:rsidRDefault="00371CE9" w:rsidP="00371CE9">
      <w:pPr>
        <w:jc w:val="center"/>
        <w:rPr>
          <w:rFonts w:asciiTheme="minorHAnsi" w:eastAsiaTheme="minorHAnsi" w:hAnsiTheme="minorHAnsi"/>
          <w:b/>
          <w:sz w:val="22"/>
          <w:szCs w:val="22"/>
        </w:rPr>
      </w:pPr>
      <w:r w:rsidRPr="00987A04">
        <w:rPr>
          <w:rFonts w:asciiTheme="minorHAnsi" w:eastAsiaTheme="minorHAnsi" w:hAnsiTheme="minorHAnsi"/>
          <w:b/>
          <w:sz w:val="22"/>
          <w:szCs w:val="22"/>
        </w:rPr>
        <w:t>A NOTICE TO PARENTS, GUARDIANS, AND STAFF</w:t>
      </w:r>
    </w:p>
    <w:p w:rsidR="00371CE9" w:rsidRPr="00E1601C" w:rsidRDefault="00371CE9" w:rsidP="00371CE9">
      <w:pPr>
        <w:jc w:val="center"/>
        <w:rPr>
          <w:rFonts w:asciiTheme="minorHAnsi" w:eastAsia="Calibri" w:hAnsiTheme="minorHAnsi" w:cstheme="minorHAnsi"/>
          <w:b/>
          <w:bCs/>
          <w:sz w:val="22"/>
          <w:szCs w:val="22"/>
        </w:rPr>
      </w:pPr>
      <w:r w:rsidRPr="00114856">
        <w:rPr>
          <w:rFonts w:asciiTheme="minorHAnsi" w:eastAsia="Calibri" w:hAnsiTheme="minorHAnsi" w:cstheme="minorHAnsi"/>
          <w:b/>
          <w:bCs/>
          <w:noProof/>
          <w:sz w:val="22"/>
          <w:szCs w:val="22"/>
        </w:rPr>
        <w:t>P.S. 42 - Manhattan</w:t>
      </w:r>
    </w:p>
    <w:p w:rsidR="00371CE9" w:rsidRPr="00E1601C" w:rsidRDefault="00371CE9" w:rsidP="00371CE9">
      <w:pPr>
        <w:jc w:val="center"/>
        <w:rPr>
          <w:rFonts w:asciiTheme="minorHAnsi" w:eastAsiaTheme="minorHAnsi" w:hAnsiTheme="minorHAnsi" w:cstheme="minorHAnsi"/>
          <w:b/>
          <w:sz w:val="22"/>
          <w:szCs w:val="22"/>
        </w:rPr>
      </w:pPr>
      <w:r w:rsidRPr="00114856">
        <w:rPr>
          <w:rFonts w:asciiTheme="minorHAnsi" w:eastAsiaTheme="minorHAnsi" w:hAnsiTheme="minorHAnsi" w:cstheme="minorHAnsi"/>
          <w:b/>
          <w:noProof/>
          <w:sz w:val="22"/>
          <w:szCs w:val="22"/>
        </w:rPr>
        <w:t>P.S. 042 Benjamin Altman</w:t>
      </w:r>
    </w:p>
    <w:p w:rsidR="00371CE9" w:rsidRDefault="00371CE9" w:rsidP="00371CE9">
      <w:pPr>
        <w:jc w:val="center"/>
        <w:rPr>
          <w:rFonts w:asciiTheme="minorHAnsi" w:eastAsiaTheme="minorHAnsi" w:hAnsiTheme="minorHAnsi" w:cstheme="minorHAnsi"/>
          <w:b/>
          <w:sz w:val="22"/>
          <w:szCs w:val="22"/>
        </w:rPr>
      </w:pPr>
      <w:r w:rsidRPr="00114856">
        <w:rPr>
          <w:rFonts w:asciiTheme="minorHAnsi" w:eastAsiaTheme="minorHAnsi" w:hAnsiTheme="minorHAnsi" w:cstheme="minorHAnsi"/>
          <w:b/>
          <w:noProof/>
          <w:sz w:val="22"/>
          <w:szCs w:val="22"/>
        </w:rPr>
        <w:t>71 Hester Street, Manhattan, NY 10002</w:t>
      </w:r>
    </w:p>
    <w:p w:rsidR="00371CE9" w:rsidRPr="00E1601C" w:rsidRDefault="00371CE9" w:rsidP="00371CE9">
      <w:pPr>
        <w:jc w:val="center"/>
        <w:rPr>
          <w:rFonts w:asciiTheme="minorHAnsi" w:eastAsiaTheme="minorHAnsi" w:hAnsiTheme="minorHAnsi" w:cstheme="minorHAnsi"/>
          <w:i/>
          <w:sz w:val="22"/>
          <w:szCs w:val="22"/>
        </w:rPr>
      </w:pPr>
      <w:r>
        <w:rPr>
          <w:rFonts w:asciiTheme="minorHAnsi" w:eastAsiaTheme="minorHAnsi" w:hAnsiTheme="minorHAnsi" w:cstheme="minorHAnsi"/>
          <w:i/>
          <w:sz w:val="22"/>
          <w:szCs w:val="22"/>
        </w:rPr>
        <w:t>November 26, 2018</w:t>
      </w:r>
    </w:p>
    <w:p w:rsidR="00164EC8" w:rsidRPr="00987A04" w:rsidRDefault="00164EC8" w:rsidP="00164EC8">
      <w:pPr>
        <w:jc w:val="center"/>
        <w:rPr>
          <w:rFonts w:ascii="Calibri" w:eastAsiaTheme="minorHAnsi" w:hAnsi="Calibri"/>
          <w:i/>
          <w:sz w:val="22"/>
          <w:szCs w:val="22"/>
        </w:rPr>
      </w:pPr>
      <w:bookmarkStart w:id="0" w:name="_GoBack"/>
      <w:bookmarkEnd w:id="0"/>
    </w:p>
    <w:p w:rsidR="00164EC8" w:rsidRPr="00987A04" w:rsidRDefault="00164EC8" w:rsidP="00164EC8">
      <w:pPr>
        <w:jc w:val="both"/>
        <w:rPr>
          <w:rFonts w:ascii="Calibri" w:eastAsiaTheme="minorHAnsi" w:hAnsi="Calibri"/>
          <w:sz w:val="22"/>
          <w:szCs w:val="22"/>
        </w:rPr>
      </w:pPr>
      <w:r w:rsidRPr="00987A04">
        <w:rPr>
          <w:rFonts w:ascii="Calibri" w:eastAsiaTheme="minorHAnsi" w:hAnsi="Calibri"/>
          <w:sz w:val="22"/>
          <w:szCs w:val="22"/>
        </w:rPr>
        <w:t xml:space="preserve">Safe and healthy school environments can foster healthy and successful children. To protect public health, the Public Health Law and New York State Health Department (NYSDOH) regulations require that all public schools and boards of cooperative educational services (BOCES) test lead levels in water from every outlet that </w:t>
      </w:r>
      <w:proofErr w:type="gramStart"/>
      <w:r w:rsidRPr="00987A04">
        <w:rPr>
          <w:rFonts w:ascii="Calibri" w:eastAsiaTheme="minorHAnsi" w:hAnsi="Calibri"/>
          <w:sz w:val="22"/>
          <w:szCs w:val="22"/>
        </w:rPr>
        <w:t>is being used</w:t>
      </w:r>
      <w:proofErr w:type="gramEnd"/>
      <w:r w:rsidRPr="00987A04">
        <w:rPr>
          <w:rFonts w:ascii="Calibri" w:eastAsiaTheme="minorHAnsi" w:hAnsi="Calibri"/>
          <w:sz w:val="22"/>
          <w:szCs w:val="22"/>
        </w:rPr>
        <w:t>, or could potentially be used, for drinking or cooking. If lead is found at any water outlet at levels above 15 parts per billion (ppb), which is equal to 15 micrograms per liter (µg/L), the NYSDOH requires that the school take action to reduce the exposure to lead.</w:t>
      </w:r>
    </w:p>
    <w:p w:rsidR="00164EC8" w:rsidRPr="00987A04" w:rsidRDefault="00164EC8" w:rsidP="00164EC8">
      <w:pPr>
        <w:jc w:val="both"/>
        <w:rPr>
          <w:rFonts w:ascii="Calibri" w:eastAsiaTheme="minorHAnsi" w:hAnsi="Calibri"/>
          <w:sz w:val="22"/>
          <w:szCs w:val="22"/>
        </w:rPr>
      </w:pPr>
    </w:p>
    <w:p w:rsidR="00164EC8" w:rsidRPr="00987A04" w:rsidRDefault="00164EC8" w:rsidP="00164EC8">
      <w:pPr>
        <w:jc w:val="both"/>
        <w:rPr>
          <w:rFonts w:ascii="Calibri" w:eastAsiaTheme="minorHAnsi" w:hAnsi="Calibri"/>
          <w:b/>
          <w:sz w:val="22"/>
          <w:szCs w:val="22"/>
        </w:rPr>
      </w:pPr>
      <w:r w:rsidRPr="00987A04">
        <w:rPr>
          <w:rFonts w:ascii="Calibri" w:eastAsiaTheme="minorHAnsi" w:hAnsi="Calibri"/>
          <w:b/>
          <w:sz w:val="22"/>
          <w:szCs w:val="22"/>
        </w:rPr>
        <w:t>What is first draw testing of school drinking water for lead?</w:t>
      </w:r>
    </w:p>
    <w:p w:rsidR="00164EC8" w:rsidRPr="00987A04" w:rsidRDefault="00164EC8" w:rsidP="00164EC8">
      <w:pPr>
        <w:jc w:val="both"/>
        <w:rPr>
          <w:rFonts w:ascii="Calibri" w:eastAsiaTheme="minorHAnsi" w:hAnsi="Calibri"/>
          <w:b/>
          <w:sz w:val="22"/>
          <w:szCs w:val="22"/>
        </w:rPr>
      </w:pPr>
      <w:r w:rsidRPr="00987A04">
        <w:rPr>
          <w:rFonts w:ascii="Calibri" w:eastAsiaTheme="minorHAnsi" w:hAnsi="Calibri"/>
          <w:sz w:val="22"/>
          <w:szCs w:val="22"/>
        </w:rPr>
        <w:t xml:space="preserve">The “on-again, off-again” nature of water use at most schools can raise lead levels in school drinking water. Water that remains in pipes overnight, over a weekend, or over vacation periods stays in contact with lead pipes or lead solder and, as a result, could contain higher levels of lead. This is why schools are required to collect a sample after the water has been sitting in the plumbing system for a certain </w:t>
      </w:r>
      <w:proofErr w:type="gramStart"/>
      <w:r w:rsidRPr="00987A04">
        <w:rPr>
          <w:rFonts w:ascii="Calibri" w:eastAsiaTheme="minorHAnsi" w:hAnsi="Calibri"/>
          <w:sz w:val="22"/>
          <w:szCs w:val="22"/>
        </w:rPr>
        <w:t>period of time</w:t>
      </w:r>
      <w:proofErr w:type="gramEnd"/>
      <w:r w:rsidRPr="00987A04">
        <w:rPr>
          <w:rFonts w:ascii="Calibri" w:eastAsiaTheme="minorHAnsi" w:hAnsi="Calibri"/>
          <w:sz w:val="22"/>
          <w:szCs w:val="22"/>
        </w:rPr>
        <w:t xml:space="preserve">. This “first draw” sample is likely to show higher levels of lead for that outlet than what you would see if you sampled after using the water continuously. However, even if the first draw sample does not reflect what you would see with continuous usage, it is still important because it can identify outlets that have elevated lead levels. </w:t>
      </w:r>
    </w:p>
    <w:p w:rsidR="00164EC8" w:rsidRPr="00987A04" w:rsidRDefault="00164EC8" w:rsidP="00164EC8">
      <w:pPr>
        <w:jc w:val="both"/>
        <w:rPr>
          <w:rFonts w:ascii="Calibri" w:eastAsiaTheme="minorHAnsi" w:hAnsi="Calibri"/>
          <w:sz w:val="22"/>
          <w:szCs w:val="22"/>
        </w:rPr>
      </w:pPr>
    </w:p>
    <w:p w:rsidR="00164EC8" w:rsidRPr="00987A04" w:rsidRDefault="00164EC8" w:rsidP="00164EC8">
      <w:pPr>
        <w:jc w:val="both"/>
        <w:rPr>
          <w:rFonts w:ascii="Calibri" w:eastAsiaTheme="minorHAnsi" w:hAnsi="Calibri"/>
          <w:b/>
          <w:sz w:val="22"/>
          <w:szCs w:val="22"/>
        </w:rPr>
      </w:pPr>
      <w:r w:rsidRPr="00987A04">
        <w:rPr>
          <w:rFonts w:ascii="Calibri" w:eastAsiaTheme="minorHAnsi" w:hAnsi="Calibri"/>
          <w:b/>
          <w:sz w:val="22"/>
          <w:szCs w:val="22"/>
        </w:rPr>
        <w:t>What are the initial first draw testing elevation results?</w:t>
      </w:r>
    </w:p>
    <w:tbl>
      <w:tblPr>
        <w:tblStyle w:val="TableGrid"/>
        <w:tblW w:w="9350" w:type="dxa"/>
        <w:tblLook w:val="04A0" w:firstRow="1" w:lastRow="0" w:firstColumn="1" w:lastColumn="0" w:noHBand="0" w:noVBand="1"/>
      </w:tblPr>
      <w:tblGrid>
        <w:gridCol w:w="1075"/>
        <w:gridCol w:w="2160"/>
        <w:gridCol w:w="1710"/>
        <w:gridCol w:w="2070"/>
        <w:gridCol w:w="2335"/>
      </w:tblGrid>
      <w:tr w:rsidR="00164EC8" w:rsidRPr="00987A04" w:rsidTr="00195DA8">
        <w:trPr>
          <w:tblHeader/>
        </w:trPr>
        <w:tc>
          <w:tcPr>
            <w:tcW w:w="9350" w:type="dxa"/>
            <w:gridSpan w:val="5"/>
            <w:tcBorders>
              <w:bottom w:val="single" w:sz="4" w:space="0" w:color="auto"/>
            </w:tcBorders>
            <w:shd w:val="clear" w:color="auto" w:fill="BDD6EE"/>
          </w:tcPr>
          <w:p w:rsidR="00164EC8" w:rsidRPr="00F05DB9" w:rsidRDefault="00164EC8" w:rsidP="00195DA8">
            <w:pPr>
              <w:jc w:val="center"/>
              <w:rPr>
                <w:rFonts w:asciiTheme="minorHAnsi" w:eastAsia="Calibri" w:hAnsiTheme="minorHAnsi"/>
                <w:b/>
              </w:rPr>
            </w:pPr>
            <w:r w:rsidRPr="00F05DB9">
              <w:rPr>
                <w:rFonts w:asciiTheme="minorHAnsi" w:eastAsia="Calibri" w:hAnsiTheme="minorHAnsi"/>
                <w:b/>
              </w:rPr>
              <w:t xml:space="preserve">Samples Collected on </w:t>
            </w:r>
            <w:r w:rsidRPr="00114856">
              <w:rPr>
                <w:rFonts w:asciiTheme="minorHAnsi" w:eastAsia="Calibri" w:hAnsiTheme="minorHAnsi"/>
                <w:b/>
                <w:noProof/>
              </w:rPr>
              <w:t>10/23/2018</w:t>
            </w:r>
          </w:p>
        </w:tc>
      </w:tr>
      <w:tr w:rsidR="00164EC8" w:rsidRPr="00987A04" w:rsidTr="00195DA8">
        <w:trPr>
          <w:tblHeader/>
        </w:trPr>
        <w:tc>
          <w:tcPr>
            <w:tcW w:w="1075" w:type="dxa"/>
            <w:shd w:val="clear" w:color="auto" w:fill="BDD6EE" w:themeFill="accent1" w:themeFillTint="66"/>
            <w:vAlign w:val="bottom"/>
          </w:tcPr>
          <w:p w:rsidR="00164EC8" w:rsidRPr="00987A04" w:rsidRDefault="00164EC8" w:rsidP="00195DA8">
            <w:pPr>
              <w:spacing w:line="252" w:lineRule="auto"/>
              <w:rPr>
                <w:rFonts w:asciiTheme="minorHAnsi" w:eastAsia="Calibri" w:hAnsiTheme="minorHAnsi"/>
                <w:b/>
              </w:rPr>
            </w:pPr>
            <w:r w:rsidRPr="00987A04">
              <w:rPr>
                <w:rFonts w:asciiTheme="minorHAnsi" w:eastAsia="Calibri" w:hAnsiTheme="minorHAnsi"/>
                <w:b/>
              </w:rPr>
              <w:t>Floor</w:t>
            </w:r>
          </w:p>
        </w:tc>
        <w:tc>
          <w:tcPr>
            <w:tcW w:w="2160" w:type="dxa"/>
            <w:shd w:val="clear" w:color="auto" w:fill="BDD6EE" w:themeFill="accent1" w:themeFillTint="66"/>
            <w:vAlign w:val="bottom"/>
          </w:tcPr>
          <w:p w:rsidR="00164EC8" w:rsidRPr="00987A04" w:rsidRDefault="00164EC8" w:rsidP="00195DA8">
            <w:pPr>
              <w:spacing w:line="252" w:lineRule="auto"/>
              <w:rPr>
                <w:rFonts w:asciiTheme="minorHAnsi" w:eastAsia="Calibri" w:hAnsiTheme="minorHAnsi"/>
                <w:b/>
              </w:rPr>
            </w:pPr>
            <w:r w:rsidRPr="00987A04">
              <w:rPr>
                <w:rFonts w:asciiTheme="minorHAnsi" w:eastAsia="Calibri" w:hAnsiTheme="minorHAnsi"/>
                <w:b/>
              </w:rPr>
              <w:t>Function/ Space</w:t>
            </w:r>
          </w:p>
        </w:tc>
        <w:tc>
          <w:tcPr>
            <w:tcW w:w="1710" w:type="dxa"/>
            <w:shd w:val="clear" w:color="auto" w:fill="BDD6EE" w:themeFill="accent1" w:themeFillTint="66"/>
            <w:vAlign w:val="bottom"/>
          </w:tcPr>
          <w:p w:rsidR="00164EC8" w:rsidRPr="00987A04" w:rsidRDefault="00164EC8" w:rsidP="00195DA8">
            <w:pPr>
              <w:spacing w:line="252" w:lineRule="auto"/>
              <w:rPr>
                <w:rFonts w:asciiTheme="minorHAnsi" w:eastAsia="Calibri" w:hAnsiTheme="minorHAnsi"/>
                <w:b/>
              </w:rPr>
            </w:pPr>
            <w:r>
              <w:rPr>
                <w:rFonts w:asciiTheme="minorHAnsi" w:eastAsia="Calibri" w:hAnsiTheme="minorHAnsi"/>
                <w:b/>
              </w:rPr>
              <w:t xml:space="preserve">Closest </w:t>
            </w:r>
            <w:r w:rsidRPr="00987A04">
              <w:rPr>
                <w:rFonts w:asciiTheme="minorHAnsi" w:eastAsia="Calibri" w:hAnsiTheme="minorHAnsi"/>
                <w:b/>
              </w:rPr>
              <w:t>Room</w:t>
            </w:r>
          </w:p>
        </w:tc>
        <w:tc>
          <w:tcPr>
            <w:tcW w:w="2070" w:type="dxa"/>
            <w:shd w:val="clear" w:color="auto" w:fill="BDD6EE" w:themeFill="accent1" w:themeFillTint="66"/>
            <w:vAlign w:val="bottom"/>
          </w:tcPr>
          <w:p w:rsidR="00164EC8" w:rsidRPr="00987A04" w:rsidRDefault="00164EC8" w:rsidP="00195DA8">
            <w:pPr>
              <w:spacing w:line="252" w:lineRule="auto"/>
              <w:rPr>
                <w:rFonts w:asciiTheme="minorHAnsi" w:eastAsia="Calibri" w:hAnsiTheme="minorHAnsi"/>
                <w:b/>
              </w:rPr>
            </w:pPr>
            <w:r w:rsidRPr="00987A04">
              <w:rPr>
                <w:rFonts w:asciiTheme="minorHAnsi" w:eastAsia="Calibri" w:hAnsiTheme="minorHAnsi"/>
                <w:b/>
              </w:rPr>
              <w:t>Fixture Type</w:t>
            </w:r>
          </w:p>
        </w:tc>
        <w:tc>
          <w:tcPr>
            <w:tcW w:w="2335" w:type="dxa"/>
            <w:shd w:val="clear" w:color="auto" w:fill="BDD6EE" w:themeFill="accent1" w:themeFillTint="66"/>
            <w:vAlign w:val="bottom"/>
          </w:tcPr>
          <w:p w:rsidR="00164EC8" w:rsidRPr="00987A04" w:rsidRDefault="00164EC8" w:rsidP="00195DA8">
            <w:pPr>
              <w:spacing w:line="252" w:lineRule="auto"/>
              <w:rPr>
                <w:rFonts w:asciiTheme="minorHAnsi" w:eastAsia="Calibri" w:hAnsiTheme="minorHAnsi"/>
                <w:b/>
              </w:rPr>
            </w:pPr>
            <w:r w:rsidRPr="00987A04">
              <w:rPr>
                <w:rFonts w:asciiTheme="minorHAnsi" w:eastAsia="Calibri" w:hAnsiTheme="minorHAnsi"/>
                <w:b/>
              </w:rPr>
              <w:t>Sample Results</w:t>
            </w:r>
            <w:r>
              <w:rPr>
                <w:rFonts w:asciiTheme="minorHAnsi" w:eastAsia="Calibri" w:hAnsiTheme="minorHAnsi"/>
                <w:b/>
              </w:rPr>
              <w:t xml:space="preserve"> (ppb)</w:t>
            </w:r>
          </w:p>
        </w:tc>
      </w:tr>
      <w:tr w:rsidR="00164EC8" w:rsidRPr="00987A04" w:rsidTr="00195DA8">
        <w:trPr>
          <w:trHeight w:val="70"/>
        </w:trPr>
        <w:tc>
          <w:tcPr>
            <w:tcW w:w="1075"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3</w:t>
            </w:r>
          </w:p>
        </w:tc>
        <w:tc>
          <w:tcPr>
            <w:tcW w:w="2160"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Classroom</w:t>
            </w:r>
          </w:p>
        </w:tc>
        <w:tc>
          <w:tcPr>
            <w:tcW w:w="1710"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304</w:t>
            </w:r>
          </w:p>
        </w:tc>
        <w:tc>
          <w:tcPr>
            <w:tcW w:w="2070"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Cold Water Faucet</w:t>
            </w:r>
          </w:p>
        </w:tc>
        <w:tc>
          <w:tcPr>
            <w:tcW w:w="2335"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78.5</w:t>
            </w:r>
          </w:p>
        </w:tc>
      </w:tr>
      <w:tr w:rsidR="00164EC8" w:rsidRPr="00987A04" w:rsidTr="00195DA8">
        <w:trPr>
          <w:trHeight w:val="70"/>
        </w:trPr>
        <w:tc>
          <w:tcPr>
            <w:tcW w:w="1075"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3</w:t>
            </w:r>
          </w:p>
        </w:tc>
        <w:tc>
          <w:tcPr>
            <w:tcW w:w="2160"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Hallway</w:t>
            </w:r>
          </w:p>
        </w:tc>
        <w:tc>
          <w:tcPr>
            <w:tcW w:w="1710"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307</w:t>
            </w:r>
          </w:p>
        </w:tc>
        <w:tc>
          <w:tcPr>
            <w:tcW w:w="2070"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Slop Sink</w:t>
            </w:r>
          </w:p>
        </w:tc>
        <w:tc>
          <w:tcPr>
            <w:tcW w:w="2335"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17.7</w:t>
            </w:r>
          </w:p>
        </w:tc>
      </w:tr>
      <w:tr w:rsidR="00164EC8" w:rsidRPr="00987A04" w:rsidTr="00195DA8">
        <w:trPr>
          <w:trHeight w:val="70"/>
        </w:trPr>
        <w:tc>
          <w:tcPr>
            <w:tcW w:w="1075"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4</w:t>
            </w:r>
          </w:p>
        </w:tc>
        <w:tc>
          <w:tcPr>
            <w:tcW w:w="2160"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Hallway</w:t>
            </w:r>
          </w:p>
        </w:tc>
        <w:tc>
          <w:tcPr>
            <w:tcW w:w="1710"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407</w:t>
            </w:r>
          </w:p>
        </w:tc>
        <w:tc>
          <w:tcPr>
            <w:tcW w:w="2070"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Bubbler</w:t>
            </w:r>
          </w:p>
        </w:tc>
        <w:tc>
          <w:tcPr>
            <w:tcW w:w="2335"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23.2</w:t>
            </w:r>
          </w:p>
        </w:tc>
      </w:tr>
      <w:tr w:rsidR="00164EC8" w:rsidRPr="00987A04" w:rsidTr="00195DA8">
        <w:trPr>
          <w:trHeight w:val="70"/>
        </w:trPr>
        <w:tc>
          <w:tcPr>
            <w:tcW w:w="1075"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4</w:t>
            </w:r>
          </w:p>
        </w:tc>
        <w:tc>
          <w:tcPr>
            <w:tcW w:w="2160"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Medical Office</w:t>
            </w:r>
          </w:p>
        </w:tc>
        <w:tc>
          <w:tcPr>
            <w:tcW w:w="1710"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408A</w:t>
            </w:r>
          </w:p>
        </w:tc>
        <w:tc>
          <w:tcPr>
            <w:tcW w:w="2070"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Cold Water Faucet</w:t>
            </w:r>
          </w:p>
        </w:tc>
        <w:tc>
          <w:tcPr>
            <w:tcW w:w="2335" w:type="dxa"/>
            <w:vAlign w:val="center"/>
          </w:tcPr>
          <w:p w:rsidR="00164EC8" w:rsidRDefault="00164EC8" w:rsidP="00195DA8">
            <w:pPr>
              <w:jc w:val="center"/>
              <w:rPr>
                <w:rFonts w:ascii="Calibri" w:hAnsi="Calibri" w:cs="Calibri"/>
                <w:sz w:val="22"/>
                <w:szCs w:val="22"/>
              </w:rPr>
            </w:pPr>
            <w:r>
              <w:rPr>
                <w:rFonts w:ascii="Calibri" w:hAnsi="Calibri" w:cs="Calibri"/>
                <w:sz w:val="22"/>
                <w:szCs w:val="22"/>
              </w:rPr>
              <w:t>63.8</w:t>
            </w:r>
          </w:p>
        </w:tc>
      </w:tr>
    </w:tbl>
    <w:p w:rsidR="00A75C39" w:rsidRPr="00987A04" w:rsidRDefault="00A75C39" w:rsidP="00A75C39">
      <w:pPr>
        <w:jc w:val="both"/>
        <w:rPr>
          <w:rFonts w:ascii="Calibri" w:eastAsiaTheme="minorHAnsi" w:hAnsi="Calibri"/>
          <w:b/>
          <w:sz w:val="22"/>
          <w:szCs w:val="22"/>
        </w:rPr>
      </w:pPr>
    </w:p>
    <w:p w:rsidR="00A75C39" w:rsidRPr="00987A04" w:rsidRDefault="00A75C39" w:rsidP="00A75C39">
      <w:pPr>
        <w:jc w:val="both"/>
        <w:rPr>
          <w:rFonts w:ascii="Calibri" w:eastAsiaTheme="minorHAnsi" w:hAnsi="Calibri"/>
          <w:b/>
          <w:sz w:val="22"/>
          <w:szCs w:val="22"/>
        </w:rPr>
      </w:pPr>
      <w:r w:rsidRPr="00987A04">
        <w:rPr>
          <w:rFonts w:ascii="Calibri" w:eastAsiaTheme="minorHAnsi" w:hAnsi="Calibri"/>
          <w:b/>
          <w:sz w:val="22"/>
          <w:szCs w:val="22"/>
        </w:rPr>
        <w:t xml:space="preserve">What </w:t>
      </w:r>
      <w:proofErr w:type="gramStart"/>
      <w:r w:rsidRPr="00987A04">
        <w:rPr>
          <w:rFonts w:ascii="Calibri" w:eastAsiaTheme="minorHAnsi" w:hAnsi="Calibri"/>
          <w:b/>
          <w:sz w:val="22"/>
          <w:szCs w:val="22"/>
        </w:rPr>
        <w:t>is being done</w:t>
      </w:r>
      <w:proofErr w:type="gramEnd"/>
      <w:r w:rsidRPr="00987A04">
        <w:rPr>
          <w:rFonts w:ascii="Calibri" w:eastAsiaTheme="minorHAnsi" w:hAnsi="Calibri"/>
          <w:b/>
          <w:sz w:val="22"/>
          <w:szCs w:val="22"/>
        </w:rPr>
        <w:t xml:space="preserve"> in response to the results? </w:t>
      </w:r>
    </w:p>
    <w:p w:rsidR="00A75C39" w:rsidRDefault="00A75C39" w:rsidP="00A75C39">
      <w:pPr>
        <w:jc w:val="both"/>
        <w:rPr>
          <w:rFonts w:ascii="Calibri" w:eastAsiaTheme="minorHAnsi" w:hAnsi="Calibri"/>
          <w:sz w:val="22"/>
          <w:szCs w:val="22"/>
        </w:rPr>
      </w:pPr>
      <w:r w:rsidRPr="00A25493">
        <w:rPr>
          <w:rFonts w:ascii="Calibri" w:eastAsiaTheme="minorHAnsi" w:hAnsi="Calibri"/>
          <w:sz w:val="22"/>
          <w:szCs w:val="22"/>
        </w:rPr>
        <w:t xml:space="preserve">Each of the affected </w:t>
      </w:r>
      <w:r>
        <w:rPr>
          <w:rFonts w:ascii="Calibri" w:eastAsiaTheme="minorHAnsi" w:hAnsi="Calibri"/>
          <w:sz w:val="22"/>
          <w:szCs w:val="22"/>
        </w:rPr>
        <w:t xml:space="preserve">drinking or cooking </w:t>
      </w:r>
      <w:r w:rsidRPr="00A25493">
        <w:rPr>
          <w:rFonts w:ascii="Calibri" w:eastAsiaTheme="minorHAnsi" w:hAnsi="Calibri"/>
          <w:sz w:val="22"/>
          <w:szCs w:val="22"/>
        </w:rPr>
        <w:t>fixtures</w:t>
      </w:r>
      <w:r>
        <w:rPr>
          <w:rFonts w:ascii="Calibri" w:eastAsiaTheme="minorHAnsi" w:hAnsi="Calibri"/>
          <w:sz w:val="22"/>
          <w:szCs w:val="22"/>
        </w:rPr>
        <w:t>, have been taken out of service and</w:t>
      </w:r>
      <w:r w:rsidRPr="00A25493">
        <w:rPr>
          <w:rFonts w:ascii="Calibri" w:eastAsiaTheme="minorHAnsi" w:hAnsi="Calibri"/>
          <w:sz w:val="22"/>
          <w:szCs w:val="22"/>
        </w:rPr>
        <w:t xml:space="preserve"> will remain out of service until remediation work is completed and future testing provides results below the action level.</w:t>
      </w:r>
    </w:p>
    <w:p w:rsidR="00A75C39" w:rsidRDefault="00A75C39" w:rsidP="00A75C39">
      <w:pPr>
        <w:jc w:val="both"/>
        <w:rPr>
          <w:rFonts w:ascii="Calibri" w:eastAsiaTheme="minorHAnsi" w:hAnsi="Calibri"/>
          <w:sz w:val="22"/>
          <w:szCs w:val="22"/>
        </w:rPr>
      </w:pPr>
      <w:r>
        <w:rPr>
          <w:rFonts w:ascii="Calibri" w:eastAsiaTheme="minorHAnsi" w:hAnsi="Calibri"/>
          <w:sz w:val="22"/>
          <w:szCs w:val="22"/>
        </w:rPr>
        <w:t>Fixture</w:t>
      </w:r>
      <w:r w:rsidRPr="00A25493">
        <w:rPr>
          <w:rFonts w:ascii="Calibri" w:eastAsiaTheme="minorHAnsi" w:hAnsi="Calibri"/>
          <w:sz w:val="22"/>
          <w:szCs w:val="22"/>
        </w:rPr>
        <w:t xml:space="preserve">s that </w:t>
      </w:r>
      <w:proofErr w:type="gramStart"/>
      <w:r w:rsidRPr="008D332C">
        <w:rPr>
          <w:rFonts w:ascii="Calibri" w:eastAsia="Calibri" w:hAnsi="Calibri"/>
          <w:sz w:val="22"/>
          <w:szCs w:val="22"/>
        </w:rPr>
        <w:t>are not used</w:t>
      </w:r>
      <w:proofErr w:type="gramEnd"/>
      <w:r w:rsidRPr="008D332C">
        <w:rPr>
          <w:rFonts w:ascii="Calibri" w:eastAsia="Calibri" w:hAnsi="Calibri"/>
          <w:sz w:val="22"/>
          <w:szCs w:val="22"/>
        </w:rPr>
        <w:t xml:space="preserve"> for drinking or cooking</w:t>
      </w:r>
      <w:r>
        <w:rPr>
          <w:rFonts w:ascii="Calibri" w:eastAsia="Calibri" w:hAnsi="Calibri"/>
          <w:sz w:val="22"/>
          <w:szCs w:val="22"/>
        </w:rPr>
        <w:t xml:space="preserve"> that </w:t>
      </w:r>
      <w:r w:rsidRPr="00A25493">
        <w:rPr>
          <w:rFonts w:ascii="Calibri" w:eastAsiaTheme="minorHAnsi" w:hAnsi="Calibri"/>
          <w:sz w:val="22"/>
          <w:szCs w:val="22"/>
        </w:rPr>
        <w:t xml:space="preserve">tested with lead levels above the action level (15 ppb) </w:t>
      </w:r>
      <w:r w:rsidRPr="008D332C">
        <w:rPr>
          <w:rFonts w:ascii="Calibri" w:eastAsia="Calibri" w:hAnsi="Calibri"/>
          <w:sz w:val="22"/>
          <w:szCs w:val="22"/>
        </w:rPr>
        <w:t>will remain in service for hand washing only, with “Hand Washing Only” and “Not for Drinking Use” signs posted.</w:t>
      </w:r>
      <w:r w:rsidRPr="00A25493">
        <w:rPr>
          <w:rFonts w:ascii="Calibri" w:eastAsiaTheme="minorHAnsi" w:hAnsi="Calibri"/>
          <w:sz w:val="22"/>
          <w:szCs w:val="22"/>
        </w:rPr>
        <w:t xml:space="preserve"> </w:t>
      </w:r>
    </w:p>
    <w:p w:rsidR="00A75C39" w:rsidRPr="00987A04" w:rsidRDefault="00A75C39" w:rsidP="00A75C39">
      <w:pPr>
        <w:jc w:val="both"/>
        <w:rPr>
          <w:rFonts w:ascii="Calibri" w:eastAsiaTheme="minorHAnsi" w:hAnsi="Calibri"/>
          <w:b/>
          <w:sz w:val="22"/>
          <w:szCs w:val="22"/>
        </w:rPr>
      </w:pPr>
    </w:p>
    <w:p w:rsidR="00A75C39" w:rsidRPr="00987A04" w:rsidRDefault="00A75C39" w:rsidP="00A75C39">
      <w:pPr>
        <w:jc w:val="both"/>
        <w:rPr>
          <w:rFonts w:ascii="Calibri" w:eastAsiaTheme="minorHAnsi" w:hAnsi="Calibri"/>
          <w:b/>
          <w:sz w:val="22"/>
          <w:szCs w:val="22"/>
        </w:rPr>
      </w:pPr>
      <w:r w:rsidRPr="00987A04">
        <w:rPr>
          <w:rFonts w:ascii="Calibri" w:eastAsiaTheme="minorHAnsi" w:hAnsi="Calibri"/>
          <w:b/>
          <w:sz w:val="22"/>
          <w:szCs w:val="22"/>
        </w:rPr>
        <w:t xml:space="preserve">What are the health effects of lead? </w:t>
      </w:r>
    </w:p>
    <w:p w:rsidR="00A75C39" w:rsidRPr="00987A04" w:rsidRDefault="00A75C39" w:rsidP="00A75C39">
      <w:pPr>
        <w:jc w:val="both"/>
        <w:rPr>
          <w:rFonts w:ascii="Calibri" w:eastAsiaTheme="minorHAnsi" w:hAnsi="Calibri"/>
          <w:sz w:val="22"/>
          <w:szCs w:val="22"/>
        </w:rPr>
      </w:pPr>
      <w:r w:rsidRPr="00987A04">
        <w:rPr>
          <w:rFonts w:ascii="Calibri" w:eastAsiaTheme="minorHAnsi" w:hAnsi="Calibri"/>
          <w:sz w:val="22"/>
          <w:szCs w:val="22"/>
        </w:rPr>
        <w:t>Lead is a metal that can harm children and adults when it gets into their bodies. Lead is a known neurotoxin, particularly harmful to the developing brain and nervous system of children under 6 years old.</w:t>
      </w:r>
      <w:r w:rsidRPr="00987A04">
        <w:rPr>
          <w:rFonts w:ascii="Calibri" w:eastAsiaTheme="minorHAnsi" w:hAnsi="Calibri" w:cs="Arial"/>
          <w:sz w:val="22"/>
          <w:szCs w:val="22"/>
          <w:shd w:val="clear" w:color="auto" w:fill="FFFFFF"/>
        </w:rPr>
        <w:t xml:space="preserve"> </w:t>
      </w:r>
      <w:r w:rsidRPr="00987A04">
        <w:rPr>
          <w:rFonts w:ascii="Calibri" w:eastAsiaTheme="minorHAnsi" w:hAnsi="Calibri"/>
          <w:sz w:val="22"/>
          <w:szCs w:val="22"/>
        </w:rPr>
        <w:t xml:space="preserve">Lead can harm a young child's growth, behavior, and ability to learn. Lead exposure during pregnancy may contribute to low birth weight and developmental delays in infants. There are many sources of lead exposure in the environment, and it is important to reduce all lead exposures as much as possible. Water testing helps identify and correct possible sources of lead that contribute to exposure from drinking water.  </w:t>
      </w:r>
    </w:p>
    <w:p w:rsidR="00A75C39" w:rsidRPr="00987A04" w:rsidRDefault="00A75C39" w:rsidP="00A75C39">
      <w:pPr>
        <w:jc w:val="both"/>
        <w:rPr>
          <w:rFonts w:ascii="Calibri" w:eastAsiaTheme="minorHAnsi" w:hAnsi="Calibri"/>
          <w:b/>
          <w:sz w:val="22"/>
          <w:szCs w:val="22"/>
        </w:rPr>
      </w:pPr>
    </w:p>
    <w:p w:rsidR="00A75C39" w:rsidRPr="00987A04" w:rsidRDefault="00A75C39" w:rsidP="00A75C39">
      <w:pPr>
        <w:jc w:val="both"/>
        <w:rPr>
          <w:rFonts w:ascii="Calibri" w:eastAsiaTheme="minorHAnsi" w:hAnsi="Calibri"/>
          <w:b/>
          <w:sz w:val="22"/>
          <w:szCs w:val="22"/>
        </w:rPr>
      </w:pPr>
      <w:r w:rsidRPr="00987A04">
        <w:rPr>
          <w:rFonts w:ascii="Calibri" w:eastAsiaTheme="minorHAnsi" w:hAnsi="Calibri"/>
          <w:b/>
          <w:sz w:val="22"/>
          <w:szCs w:val="22"/>
        </w:rPr>
        <w:t>What are the other sources of lead exposure?</w:t>
      </w:r>
    </w:p>
    <w:p w:rsidR="00A75C39" w:rsidRPr="00987A04" w:rsidRDefault="00A75C39" w:rsidP="00A75C39">
      <w:pPr>
        <w:jc w:val="both"/>
        <w:rPr>
          <w:rFonts w:ascii="Calibri" w:eastAsiaTheme="minorHAnsi" w:hAnsi="Calibri"/>
          <w:sz w:val="22"/>
          <w:szCs w:val="22"/>
        </w:rPr>
      </w:pPr>
      <w:r w:rsidRPr="00987A04">
        <w:rPr>
          <w:rFonts w:ascii="Calibri" w:eastAsiaTheme="minorHAnsi" w:hAnsi="Calibri"/>
          <w:sz w:val="22"/>
          <w:szCs w:val="22"/>
        </w:rPr>
        <w:t xml:space="preserve">Lead is a metal that </w:t>
      </w:r>
      <w:proofErr w:type="gramStart"/>
      <w:r w:rsidRPr="00987A04">
        <w:rPr>
          <w:rFonts w:ascii="Calibri" w:eastAsiaTheme="minorHAnsi" w:hAnsi="Calibri"/>
          <w:sz w:val="22"/>
          <w:szCs w:val="22"/>
        </w:rPr>
        <w:t>has been used</w:t>
      </w:r>
      <w:proofErr w:type="gramEnd"/>
      <w:r w:rsidRPr="00987A04">
        <w:rPr>
          <w:rFonts w:ascii="Calibri" w:eastAsiaTheme="minorHAnsi" w:hAnsi="Calibri"/>
          <w:sz w:val="22"/>
          <w:szCs w:val="22"/>
        </w:rPr>
        <w:t xml:space="preserve"> for centuries for many purposes, resulting in widespread distribution in the environment.  Major sources of lead exposure include lead-based paint in older housing, and lead that built up over decades in soil and dust due to historical use of lead in gasoline, paint, and manufacturing. Lead </w:t>
      </w:r>
      <w:proofErr w:type="gramStart"/>
      <w:r w:rsidRPr="00987A04">
        <w:rPr>
          <w:rFonts w:ascii="Calibri" w:eastAsiaTheme="minorHAnsi" w:hAnsi="Calibri"/>
          <w:sz w:val="22"/>
          <w:szCs w:val="22"/>
        </w:rPr>
        <w:t>can also be found</w:t>
      </w:r>
      <w:proofErr w:type="gramEnd"/>
      <w:r w:rsidRPr="00987A04">
        <w:rPr>
          <w:rFonts w:ascii="Calibri" w:eastAsiaTheme="minorHAnsi" w:hAnsi="Calibri"/>
          <w:sz w:val="22"/>
          <w:szCs w:val="22"/>
        </w:rPr>
        <w:t xml:space="preserve"> in a number of consumer products, including certain types of pottery, pewter, brass fixtures, foods, plumbing materials, and cosmetics. Lead seldom occurs naturally in water supplies but drinking water could become a possible source of lead exposure if the building’s plumbing contains lead. The primary source of lead exposure for most children with elevated blood-lead levels is lead-based paint.  </w:t>
      </w:r>
    </w:p>
    <w:p w:rsidR="00A75C39" w:rsidRPr="00987A04" w:rsidRDefault="00A75C39" w:rsidP="00A75C39">
      <w:pPr>
        <w:jc w:val="both"/>
        <w:rPr>
          <w:rFonts w:ascii="Calibri" w:eastAsiaTheme="minorHAnsi" w:hAnsi="Calibri"/>
          <w:b/>
          <w:sz w:val="22"/>
          <w:szCs w:val="22"/>
        </w:rPr>
      </w:pPr>
    </w:p>
    <w:p w:rsidR="00A75C39" w:rsidRPr="00987A04" w:rsidRDefault="00A75C39" w:rsidP="00A75C39">
      <w:pPr>
        <w:jc w:val="both"/>
        <w:rPr>
          <w:rFonts w:ascii="Calibri" w:eastAsiaTheme="minorHAnsi" w:hAnsi="Calibri"/>
          <w:sz w:val="22"/>
          <w:szCs w:val="22"/>
        </w:rPr>
      </w:pPr>
      <w:proofErr w:type="gramStart"/>
      <w:r w:rsidRPr="00987A04">
        <w:rPr>
          <w:rFonts w:ascii="Calibri" w:eastAsiaTheme="minorHAnsi" w:hAnsi="Calibri"/>
          <w:b/>
          <w:sz w:val="22"/>
          <w:szCs w:val="22"/>
        </w:rPr>
        <w:t>Should your child be tested</w:t>
      </w:r>
      <w:proofErr w:type="gramEnd"/>
      <w:r w:rsidRPr="00987A04">
        <w:rPr>
          <w:rFonts w:ascii="Calibri" w:eastAsiaTheme="minorHAnsi" w:hAnsi="Calibri"/>
          <w:b/>
          <w:sz w:val="22"/>
          <w:szCs w:val="22"/>
        </w:rPr>
        <w:t xml:space="preserve"> for lead?</w:t>
      </w:r>
      <w:r w:rsidRPr="00987A04">
        <w:rPr>
          <w:rFonts w:ascii="Calibri" w:eastAsiaTheme="minorHAnsi" w:hAnsi="Calibri"/>
          <w:sz w:val="22"/>
          <w:szCs w:val="22"/>
        </w:rPr>
        <w:t xml:space="preserve"> </w:t>
      </w:r>
    </w:p>
    <w:p w:rsidR="00A75C39" w:rsidRPr="00987A04" w:rsidRDefault="00A75C39" w:rsidP="00A75C39">
      <w:pPr>
        <w:rPr>
          <w:rFonts w:ascii="Calibri" w:hAnsi="Calibri"/>
          <w:b/>
          <w:bCs/>
          <w:sz w:val="22"/>
          <w:szCs w:val="22"/>
        </w:rPr>
      </w:pPr>
      <w:r w:rsidRPr="00987A04">
        <w:rPr>
          <w:rFonts w:ascii="Calibri" w:eastAsiaTheme="minorHAnsi" w:hAnsi="Calibri"/>
          <w:sz w:val="22"/>
          <w:szCs w:val="22"/>
        </w:rPr>
        <w:t xml:space="preserve">The risk to an individual child from past exposure to elevated lead in drinking water depends on many factors; for example, a child’s age, weight, amount of water consumed, and the amount of lead in the water. Children </w:t>
      </w:r>
      <w:proofErr w:type="gramStart"/>
      <w:r w:rsidRPr="00987A04">
        <w:rPr>
          <w:rFonts w:ascii="Calibri" w:eastAsiaTheme="minorHAnsi" w:hAnsi="Calibri"/>
          <w:sz w:val="22"/>
          <w:szCs w:val="22"/>
        </w:rPr>
        <w:t>may also be exposed</w:t>
      </w:r>
      <w:proofErr w:type="gramEnd"/>
      <w:r w:rsidRPr="00987A04">
        <w:rPr>
          <w:rFonts w:ascii="Calibri" w:eastAsiaTheme="minorHAnsi" w:hAnsi="Calibri"/>
          <w:sz w:val="22"/>
          <w:szCs w:val="22"/>
        </w:rPr>
        <w:t xml:space="preserve"> to other significant sources of lead including paint, soil and dust. Since blood lead testing is the only way to determine a child’s blood lead level, parents should discuss their child’s health history with their child’s physician to determine if blood lead testing is appropriate. Pregnant women or women of childbearing age should also consider discussing this matter with their physician.</w:t>
      </w:r>
      <w:r w:rsidRPr="00987A04">
        <w:rPr>
          <w:rFonts w:ascii="Calibri" w:hAnsi="Calibri"/>
          <w:b/>
          <w:bCs/>
          <w:sz w:val="22"/>
          <w:szCs w:val="22"/>
        </w:rPr>
        <w:t xml:space="preserve"> </w:t>
      </w:r>
    </w:p>
    <w:p w:rsidR="00A75C39" w:rsidRPr="00987A04" w:rsidRDefault="00A75C39" w:rsidP="00A75C39">
      <w:pPr>
        <w:rPr>
          <w:rFonts w:ascii="Calibri" w:hAnsi="Calibri"/>
          <w:b/>
          <w:bCs/>
          <w:sz w:val="22"/>
          <w:szCs w:val="22"/>
        </w:rPr>
      </w:pPr>
    </w:p>
    <w:p w:rsidR="00A75C39" w:rsidRPr="00987A04" w:rsidRDefault="00A75C39" w:rsidP="00A75C39">
      <w:pPr>
        <w:rPr>
          <w:rFonts w:ascii="Calibri" w:hAnsi="Calibri"/>
          <w:sz w:val="22"/>
          <w:szCs w:val="22"/>
        </w:rPr>
      </w:pPr>
      <w:r w:rsidRPr="00987A04">
        <w:rPr>
          <w:rFonts w:ascii="Calibri" w:hAnsi="Calibri"/>
          <w:b/>
          <w:bCs/>
          <w:sz w:val="22"/>
          <w:szCs w:val="22"/>
        </w:rPr>
        <w:t>Do elevated lead levels in school drinking water pose a serious risk to students and staff?</w:t>
      </w:r>
    </w:p>
    <w:p w:rsidR="00A75C39" w:rsidRPr="00987A04" w:rsidRDefault="00A75C39" w:rsidP="00A75C39">
      <w:pPr>
        <w:rPr>
          <w:rFonts w:ascii="Calibri" w:hAnsi="Calibri"/>
          <w:sz w:val="22"/>
          <w:szCs w:val="22"/>
        </w:rPr>
      </w:pPr>
      <w:r w:rsidRPr="00987A04">
        <w:rPr>
          <w:rFonts w:ascii="Calibri" w:hAnsi="Calibri"/>
          <w:sz w:val="22"/>
          <w:szCs w:val="22"/>
        </w:rPr>
        <w:t xml:space="preserve">The risk to students and staff is low for many reasons. The elevated lead levels identified by the recent round of water testing are not likely to represent the levels seen throughout the day. The recent testing </w:t>
      </w:r>
      <w:proofErr w:type="gramStart"/>
      <w:r w:rsidRPr="00987A04">
        <w:rPr>
          <w:rFonts w:ascii="Calibri" w:hAnsi="Calibri"/>
          <w:sz w:val="22"/>
          <w:szCs w:val="22"/>
        </w:rPr>
        <w:t>was conducted</w:t>
      </w:r>
      <w:proofErr w:type="gramEnd"/>
      <w:r w:rsidRPr="00987A04">
        <w:rPr>
          <w:rFonts w:ascii="Calibri" w:hAnsi="Calibri"/>
          <w:sz w:val="22"/>
          <w:szCs w:val="22"/>
        </w:rPr>
        <w:t xml:space="preserve"> on water that had remained in pipes overnight. The lead concentration drops sharply after the first use of the day as stagnant water </w:t>
      </w:r>
      <w:proofErr w:type="gramStart"/>
      <w:r w:rsidRPr="00987A04">
        <w:rPr>
          <w:rFonts w:ascii="Calibri" w:hAnsi="Calibri"/>
          <w:sz w:val="22"/>
          <w:szCs w:val="22"/>
        </w:rPr>
        <w:t>is cleared</w:t>
      </w:r>
      <w:proofErr w:type="gramEnd"/>
      <w:r w:rsidRPr="00987A04">
        <w:rPr>
          <w:rFonts w:ascii="Calibri" w:hAnsi="Calibri"/>
          <w:sz w:val="22"/>
          <w:szCs w:val="22"/>
        </w:rPr>
        <w:t xml:space="preserve"> from the pipes and new, fresh water is brought in from the water main – which is virtually lead-free. In addition, for most students and staff, the amount of water consumed from a school water source during a school day is likely to be small when compared to total daily water consumption. Many of the elevated water samples came from fixtures that </w:t>
      </w:r>
      <w:proofErr w:type="gramStart"/>
      <w:r w:rsidRPr="00987A04">
        <w:rPr>
          <w:rFonts w:ascii="Calibri" w:hAnsi="Calibri"/>
          <w:sz w:val="22"/>
          <w:szCs w:val="22"/>
        </w:rPr>
        <w:t>are not typically used</w:t>
      </w:r>
      <w:proofErr w:type="gramEnd"/>
      <w:r w:rsidRPr="00987A04">
        <w:rPr>
          <w:rFonts w:ascii="Calibri" w:hAnsi="Calibri"/>
          <w:sz w:val="22"/>
          <w:szCs w:val="22"/>
        </w:rPr>
        <w:t xml:space="preserve"> for drinking, including bathrooms, slop sinks, and laboratories. Given all of these </w:t>
      </w:r>
      <w:proofErr w:type="gramStart"/>
      <w:r w:rsidRPr="00987A04">
        <w:rPr>
          <w:rFonts w:ascii="Calibri" w:hAnsi="Calibri"/>
          <w:sz w:val="22"/>
          <w:szCs w:val="22"/>
        </w:rPr>
        <w:t>factors</w:t>
      </w:r>
      <w:proofErr w:type="gramEnd"/>
      <w:r w:rsidRPr="00987A04">
        <w:rPr>
          <w:rFonts w:ascii="Calibri" w:hAnsi="Calibri"/>
          <w:sz w:val="22"/>
          <w:szCs w:val="22"/>
        </w:rPr>
        <w:t xml:space="preserve"> it is unlikely that these elevations represent conditions that would pose a health risk, however, if a person drinks sufficiently large quantities of water at those high levels over long periods of time, the risk increases. Nonetheless, if you are concerned about exposure to lead, talk to your doctor about having you or your child tested for lead poisoning. </w:t>
      </w:r>
    </w:p>
    <w:p w:rsidR="00A75C39" w:rsidRPr="00987A04" w:rsidRDefault="00A75C39" w:rsidP="00A75C39">
      <w:pPr>
        <w:rPr>
          <w:rFonts w:ascii="Calibri" w:hAnsi="Calibri"/>
          <w:sz w:val="22"/>
          <w:szCs w:val="22"/>
        </w:rPr>
      </w:pPr>
      <w:r w:rsidRPr="00987A04">
        <w:rPr>
          <w:rFonts w:ascii="Calibri" w:hAnsi="Calibri"/>
          <w:sz w:val="22"/>
          <w:szCs w:val="22"/>
        </w:rPr>
        <w:t> </w:t>
      </w:r>
    </w:p>
    <w:p w:rsidR="00A75C39" w:rsidRPr="00987A04" w:rsidRDefault="00A75C39" w:rsidP="00A75C39">
      <w:pPr>
        <w:rPr>
          <w:rFonts w:ascii="Calibri" w:hAnsi="Calibri"/>
          <w:sz w:val="22"/>
          <w:szCs w:val="22"/>
        </w:rPr>
      </w:pPr>
      <w:r w:rsidRPr="00987A04">
        <w:rPr>
          <w:rFonts w:ascii="Calibri" w:hAnsi="Calibri"/>
          <w:b/>
          <w:bCs/>
          <w:sz w:val="22"/>
          <w:szCs w:val="22"/>
        </w:rPr>
        <w:t xml:space="preserve">Who is at risk for lead poisoning? </w:t>
      </w:r>
    </w:p>
    <w:p w:rsidR="00A75C39" w:rsidRPr="00987A04" w:rsidRDefault="00A75C39" w:rsidP="00A75C39">
      <w:pPr>
        <w:rPr>
          <w:rFonts w:ascii="Calibri" w:hAnsi="Calibri"/>
          <w:sz w:val="22"/>
          <w:szCs w:val="22"/>
        </w:rPr>
      </w:pPr>
      <w:r w:rsidRPr="00987A04">
        <w:rPr>
          <w:rFonts w:ascii="Calibri" w:hAnsi="Calibri"/>
          <w:sz w:val="22"/>
          <w:szCs w:val="22"/>
        </w:rPr>
        <w:t xml:space="preserve">Children under 3 years of age are the most susceptible and vulnerable to the health effects of lead. Lead also poses a risk to the developing fetus. Exposure to lead may interfere with a child's growth and development. </w:t>
      </w:r>
    </w:p>
    <w:p w:rsidR="00A75C39" w:rsidRPr="006C3F79" w:rsidRDefault="00A75C39" w:rsidP="00A75C39">
      <w:pPr>
        <w:rPr>
          <w:rFonts w:ascii="Calibri" w:hAnsi="Calibri"/>
          <w:sz w:val="22"/>
          <w:szCs w:val="22"/>
        </w:rPr>
      </w:pPr>
      <w:r w:rsidRPr="00987A04">
        <w:rPr>
          <w:rFonts w:ascii="Calibri" w:hAnsi="Calibri"/>
          <w:sz w:val="22"/>
          <w:szCs w:val="22"/>
        </w:rPr>
        <w:t> </w:t>
      </w:r>
    </w:p>
    <w:p w:rsidR="00A75C39" w:rsidRPr="00987A04" w:rsidRDefault="00A75C39" w:rsidP="00A75C39">
      <w:pPr>
        <w:rPr>
          <w:rFonts w:ascii="Calibri" w:hAnsi="Calibri"/>
          <w:sz w:val="22"/>
          <w:szCs w:val="22"/>
        </w:rPr>
      </w:pPr>
      <w:r w:rsidRPr="00987A04">
        <w:rPr>
          <w:rFonts w:ascii="Calibri" w:hAnsi="Calibri"/>
          <w:b/>
          <w:bCs/>
          <w:sz w:val="22"/>
          <w:szCs w:val="22"/>
        </w:rPr>
        <w:t xml:space="preserve">What do we know about rates of lead poisoning in NYC children? </w:t>
      </w:r>
    </w:p>
    <w:p w:rsidR="00A75C39" w:rsidRDefault="00A75C39" w:rsidP="00A75C39">
      <w:pPr>
        <w:rPr>
          <w:rFonts w:ascii="Calibri" w:hAnsi="Calibri"/>
          <w:sz w:val="22"/>
          <w:szCs w:val="22"/>
        </w:rPr>
      </w:pPr>
      <w:r w:rsidRPr="00987A04">
        <w:rPr>
          <w:rFonts w:ascii="Calibri" w:hAnsi="Calibri"/>
          <w:sz w:val="22"/>
          <w:szCs w:val="22"/>
        </w:rPr>
        <w:t xml:space="preserve">Rates of lead poisoning among NYC children have been falling. In 2015, 5,371 New York City children younger than 6 years of age were identified with blood lead levels of </w:t>
      </w:r>
      <w:proofErr w:type="gramStart"/>
      <w:r w:rsidRPr="00987A04">
        <w:rPr>
          <w:rFonts w:ascii="Calibri" w:hAnsi="Calibri"/>
          <w:sz w:val="22"/>
          <w:szCs w:val="22"/>
        </w:rPr>
        <w:t>5</w:t>
      </w:r>
      <w:proofErr w:type="gramEnd"/>
      <w:r w:rsidRPr="00987A04">
        <w:rPr>
          <w:rFonts w:ascii="Calibri" w:hAnsi="Calibri"/>
          <w:sz w:val="22"/>
          <w:szCs w:val="22"/>
        </w:rPr>
        <w:t xml:space="preserve"> mcg/</w:t>
      </w:r>
      <w:proofErr w:type="spellStart"/>
      <w:r w:rsidRPr="00987A04">
        <w:rPr>
          <w:rFonts w:ascii="Calibri" w:hAnsi="Calibri"/>
          <w:sz w:val="22"/>
          <w:szCs w:val="22"/>
        </w:rPr>
        <w:t>dL</w:t>
      </w:r>
      <w:proofErr w:type="spellEnd"/>
      <w:r w:rsidRPr="00987A04">
        <w:rPr>
          <w:rFonts w:ascii="Calibri" w:hAnsi="Calibri"/>
          <w:sz w:val="22"/>
          <w:szCs w:val="22"/>
        </w:rPr>
        <w:t xml:space="preserve"> or greater. This represents an 18% decline from 2014 when there were 6,550 children with blood lead levels of 5 mcg/</w:t>
      </w:r>
      <w:proofErr w:type="spellStart"/>
      <w:r w:rsidRPr="00987A04">
        <w:rPr>
          <w:rFonts w:ascii="Calibri" w:hAnsi="Calibri"/>
          <w:sz w:val="22"/>
          <w:szCs w:val="22"/>
        </w:rPr>
        <w:t>dL</w:t>
      </w:r>
      <w:proofErr w:type="spellEnd"/>
      <w:r w:rsidRPr="00987A04">
        <w:rPr>
          <w:rFonts w:ascii="Calibri" w:hAnsi="Calibri"/>
          <w:sz w:val="22"/>
          <w:szCs w:val="22"/>
        </w:rPr>
        <w:t xml:space="preserve"> or greater, and an 86% decline since 2005 when there were 37,344 children with blood lead levels of 5mcg/</w:t>
      </w:r>
      <w:proofErr w:type="spellStart"/>
      <w:r w:rsidRPr="00987A04">
        <w:rPr>
          <w:rFonts w:ascii="Calibri" w:hAnsi="Calibri"/>
          <w:sz w:val="22"/>
          <w:szCs w:val="22"/>
        </w:rPr>
        <w:t>dL</w:t>
      </w:r>
      <w:proofErr w:type="spellEnd"/>
      <w:r w:rsidRPr="00987A04">
        <w:rPr>
          <w:rFonts w:ascii="Calibri" w:hAnsi="Calibri"/>
          <w:sz w:val="22"/>
          <w:szCs w:val="22"/>
        </w:rPr>
        <w:t xml:space="preserve"> or greater. </w:t>
      </w:r>
    </w:p>
    <w:p w:rsidR="00A75C39" w:rsidRPr="00987A04" w:rsidRDefault="00A75C39" w:rsidP="00A75C39">
      <w:pPr>
        <w:rPr>
          <w:rFonts w:ascii="Calibri" w:hAnsi="Calibri"/>
          <w:sz w:val="22"/>
          <w:szCs w:val="22"/>
        </w:rPr>
      </w:pPr>
    </w:p>
    <w:p w:rsidR="00A75C39" w:rsidRPr="00987A04" w:rsidRDefault="00A75C39" w:rsidP="00A75C39">
      <w:pPr>
        <w:jc w:val="both"/>
        <w:rPr>
          <w:rFonts w:ascii="Calibri" w:eastAsiaTheme="minorHAnsi" w:hAnsi="Calibri"/>
          <w:b/>
          <w:sz w:val="22"/>
          <w:szCs w:val="22"/>
        </w:rPr>
      </w:pPr>
      <w:r w:rsidRPr="00987A04">
        <w:rPr>
          <w:rFonts w:ascii="Calibri" w:eastAsiaTheme="minorHAnsi" w:hAnsi="Calibri"/>
          <w:b/>
          <w:sz w:val="22"/>
          <w:szCs w:val="22"/>
        </w:rPr>
        <w:t>Additional Resources</w:t>
      </w:r>
    </w:p>
    <w:p w:rsidR="00A75C39" w:rsidRPr="00987A04" w:rsidRDefault="00A75C39" w:rsidP="00A75C39">
      <w:pPr>
        <w:rPr>
          <w:rFonts w:ascii="Calibri" w:eastAsiaTheme="minorHAnsi" w:hAnsi="Calibri"/>
          <w:b/>
          <w:sz w:val="22"/>
          <w:szCs w:val="22"/>
        </w:rPr>
      </w:pPr>
    </w:p>
    <w:p w:rsidR="00A75C39" w:rsidRPr="00987A04" w:rsidRDefault="00A75C39" w:rsidP="00A75C39">
      <w:pPr>
        <w:autoSpaceDE w:val="0"/>
        <w:autoSpaceDN w:val="0"/>
        <w:adjustRightInd w:val="0"/>
        <w:rPr>
          <w:rFonts w:ascii="Calibri" w:hAnsi="Calibri"/>
          <w:sz w:val="22"/>
          <w:szCs w:val="22"/>
        </w:rPr>
      </w:pPr>
      <w:r w:rsidRPr="00987A04">
        <w:rPr>
          <w:rFonts w:ascii="Calibri" w:hAnsi="Calibri"/>
          <w:b/>
          <w:sz w:val="22"/>
          <w:szCs w:val="22"/>
        </w:rPr>
        <w:t xml:space="preserve">For more information regarding the testing program or sampling </w:t>
      </w:r>
      <w:proofErr w:type="gramStart"/>
      <w:r w:rsidRPr="00987A04">
        <w:rPr>
          <w:rFonts w:ascii="Calibri" w:hAnsi="Calibri"/>
          <w:b/>
          <w:sz w:val="22"/>
          <w:szCs w:val="22"/>
        </w:rPr>
        <w:t>results</w:t>
      </w:r>
      <w:proofErr w:type="gramEnd"/>
      <w:r w:rsidRPr="00987A04">
        <w:rPr>
          <w:rFonts w:ascii="Calibri" w:hAnsi="Calibri"/>
          <w:b/>
          <w:sz w:val="22"/>
          <w:szCs w:val="22"/>
        </w:rPr>
        <w:t xml:space="preserve"> go to:</w:t>
      </w:r>
      <w:r w:rsidRPr="00987A04">
        <w:rPr>
          <w:rFonts w:ascii="Calibri" w:hAnsi="Calibri"/>
          <w:sz w:val="22"/>
          <w:szCs w:val="22"/>
        </w:rPr>
        <w:t xml:space="preserve"> </w:t>
      </w:r>
    </w:p>
    <w:p w:rsidR="00A75C39" w:rsidRDefault="00371CE9" w:rsidP="00A75C39">
      <w:pPr>
        <w:rPr>
          <w:rFonts w:ascii="Calibri" w:eastAsia="Calibri" w:hAnsi="Calibri"/>
          <w:color w:val="0563C1"/>
          <w:sz w:val="22"/>
          <w:szCs w:val="22"/>
          <w:u w:val="single"/>
        </w:rPr>
      </w:pPr>
      <w:hyperlink r:id="rId8" w:history="1">
        <w:r w:rsidR="00A75C39" w:rsidRPr="008D332C">
          <w:rPr>
            <w:rFonts w:ascii="Calibri" w:eastAsia="Calibri" w:hAnsi="Calibri"/>
            <w:color w:val="0563C1"/>
            <w:sz w:val="22"/>
            <w:szCs w:val="22"/>
            <w:u w:val="single"/>
          </w:rPr>
          <w:t>https://www.schools.nyc.gov/about-us/reports/water-safety</w:t>
        </w:r>
      </w:hyperlink>
    </w:p>
    <w:p w:rsidR="00A75C39" w:rsidRPr="00987A04" w:rsidRDefault="00A75C39" w:rsidP="00A75C39">
      <w:pPr>
        <w:rPr>
          <w:rFonts w:ascii="Calibri" w:eastAsiaTheme="minorHAnsi" w:hAnsi="Calibri"/>
          <w:i/>
          <w:sz w:val="22"/>
          <w:szCs w:val="22"/>
        </w:rPr>
      </w:pPr>
    </w:p>
    <w:p w:rsidR="00A75C39" w:rsidRPr="00987A04" w:rsidRDefault="00A75C39" w:rsidP="00A75C39">
      <w:pPr>
        <w:jc w:val="both"/>
        <w:rPr>
          <w:rFonts w:ascii="Calibri" w:eastAsiaTheme="minorHAnsi" w:hAnsi="Calibri"/>
          <w:b/>
          <w:sz w:val="22"/>
          <w:szCs w:val="22"/>
        </w:rPr>
      </w:pPr>
      <w:r w:rsidRPr="00987A04">
        <w:rPr>
          <w:rFonts w:ascii="Calibri" w:eastAsiaTheme="minorHAnsi" w:hAnsi="Calibri"/>
          <w:b/>
          <w:sz w:val="22"/>
          <w:szCs w:val="22"/>
        </w:rPr>
        <w:t xml:space="preserve">For information about lead in school drinking water, go </w:t>
      </w:r>
      <w:proofErr w:type="gramStart"/>
      <w:r w:rsidRPr="00987A04">
        <w:rPr>
          <w:rFonts w:ascii="Calibri" w:eastAsiaTheme="minorHAnsi" w:hAnsi="Calibri"/>
          <w:b/>
          <w:sz w:val="22"/>
          <w:szCs w:val="22"/>
        </w:rPr>
        <w:t>to</w:t>
      </w:r>
      <w:proofErr w:type="gramEnd"/>
      <w:r w:rsidRPr="00987A04">
        <w:rPr>
          <w:rFonts w:ascii="Calibri" w:eastAsiaTheme="minorHAnsi" w:hAnsi="Calibri"/>
          <w:b/>
          <w:sz w:val="22"/>
          <w:szCs w:val="22"/>
        </w:rPr>
        <w:t>:</w:t>
      </w:r>
    </w:p>
    <w:p w:rsidR="00A75C39" w:rsidRPr="008D332C" w:rsidRDefault="00A75C39" w:rsidP="00A75C39">
      <w:pPr>
        <w:jc w:val="both"/>
        <w:rPr>
          <w:rStyle w:val="Hyperlink"/>
          <w:rFonts w:ascii="Calibri" w:eastAsiaTheme="minorHAnsi" w:hAnsi="Calibri"/>
          <w:sz w:val="22"/>
          <w:szCs w:val="22"/>
        </w:rPr>
      </w:pPr>
      <w:r>
        <w:rPr>
          <w:rFonts w:ascii="Calibri" w:eastAsiaTheme="minorHAnsi" w:hAnsi="Calibri"/>
          <w:sz w:val="22"/>
          <w:szCs w:val="22"/>
          <w:u w:val="single"/>
        </w:rPr>
        <w:fldChar w:fldCharType="begin"/>
      </w:r>
      <w:r>
        <w:rPr>
          <w:rFonts w:ascii="Calibri" w:eastAsiaTheme="minorHAnsi" w:hAnsi="Calibri"/>
          <w:sz w:val="22"/>
          <w:szCs w:val="22"/>
          <w:u w:val="single"/>
        </w:rPr>
        <w:instrText xml:space="preserve"> HYPERLINK "http://www.health.ny.gov/environmental/water/drinking/lead/lead_testing_of_school_drinking_water.htm" </w:instrText>
      </w:r>
      <w:r>
        <w:rPr>
          <w:rFonts w:ascii="Calibri" w:eastAsiaTheme="minorHAnsi" w:hAnsi="Calibri"/>
          <w:sz w:val="22"/>
          <w:szCs w:val="22"/>
          <w:u w:val="single"/>
        </w:rPr>
        <w:fldChar w:fldCharType="separate"/>
      </w:r>
      <w:r w:rsidRPr="008D332C">
        <w:rPr>
          <w:rStyle w:val="Hyperlink"/>
          <w:rFonts w:ascii="Calibri" w:eastAsiaTheme="minorHAnsi" w:hAnsi="Calibri"/>
          <w:sz w:val="22"/>
          <w:szCs w:val="22"/>
        </w:rPr>
        <w:t>http://www.health.ny.gov/environmental/water/drinking/lead/lead_testing_of_school_drinking_water.htm</w:t>
      </w:r>
    </w:p>
    <w:p w:rsidR="00A75C39" w:rsidRPr="00987A04" w:rsidRDefault="00A75C39" w:rsidP="00A75C39">
      <w:pPr>
        <w:jc w:val="both"/>
        <w:rPr>
          <w:rFonts w:ascii="Calibri" w:eastAsiaTheme="minorHAnsi" w:hAnsi="Calibri"/>
          <w:sz w:val="22"/>
          <w:szCs w:val="22"/>
        </w:rPr>
      </w:pPr>
      <w:r>
        <w:rPr>
          <w:rFonts w:ascii="Calibri" w:eastAsiaTheme="minorHAnsi" w:hAnsi="Calibri"/>
          <w:sz w:val="22"/>
          <w:szCs w:val="22"/>
          <w:u w:val="single"/>
        </w:rPr>
        <w:fldChar w:fldCharType="end"/>
      </w:r>
    </w:p>
    <w:p w:rsidR="00A75C39" w:rsidRPr="008D332C" w:rsidRDefault="00A75C39" w:rsidP="00A75C39">
      <w:pPr>
        <w:jc w:val="both"/>
        <w:rPr>
          <w:rStyle w:val="Hyperlink"/>
          <w:rFonts w:ascii="Calibri" w:eastAsiaTheme="minorHAnsi" w:hAnsi="Calibri"/>
          <w:sz w:val="22"/>
          <w:szCs w:val="22"/>
        </w:rPr>
      </w:pPr>
      <w:r>
        <w:rPr>
          <w:rFonts w:ascii="Calibri" w:eastAsiaTheme="minorHAnsi" w:hAnsi="Calibri"/>
          <w:sz w:val="22"/>
          <w:szCs w:val="22"/>
          <w:u w:val="single"/>
        </w:rPr>
        <w:fldChar w:fldCharType="begin"/>
      </w:r>
      <w:r>
        <w:rPr>
          <w:rFonts w:ascii="Calibri" w:eastAsiaTheme="minorHAnsi" w:hAnsi="Calibri"/>
          <w:sz w:val="22"/>
          <w:szCs w:val="22"/>
          <w:u w:val="single"/>
        </w:rPr>
        <w:instrText xml:space="preserve"> HYPERLINK "http://www.p12.nysed.gov/facplan/LeadTestinginSchoolDrinkingWater.html" </w:instrText>
      </w:r>
      <w:r>
        <w:rPr>
          <w:rFonts w:ascii="Calibri" w:eastAsiaTheme="minorHAnsi" w:hAnsi="Calibri"/>
          <w:sz w:val="22"/>
          <w:szCs w:val="22"/>
          <w:u w:val="single"/>
        </w:rPr>
        <w:fldChar w:fldCharType="separate"/>
      </w:r>
      <w:r w:rsidRPr="008D332C">
        <w:rPr>
          <w:rStyle w:val="Hyperlink"/>
          <w:rFonts w:ascii="Calibri" w:eastAsiaTheme="minorHAnsi" w:hAnsi="Calibri"/>
          <w:sz w:val="22"/>
          <w:szCs w:val="22"/>
        </w:rPr>
        <w:t>http://www.p12.nysed.gov/facplan/LeadTestinginSchoolDrinkingWater.html</w:t>
      </w:r>
    </w:p>
    <w:p w:rsidR="00A75C39" w:rsidRPr="00987A04" w:rsidRDefault="00A75C39" w:rsidP="00A75C39">
      <w:pPr>
        <w:jc w:val="both"/>
        <w:rPr>
          <w:rFonts w:ascii="Calibri" w:eastAsiaTheme="minorHAnsi" w:hAnsi="Calibri"/>
          <w:sz w:val="22"/>
          <w:szCs w:val="22"/>
        </w:rPr>
      </w:pPr>
      <w:r>
        <w:rPr>
          <w:rFonts w:ascii="Calibri" w:eastAsiaTheme="minorHAnsi" w:hAnsi="Calibri"/>
          <w:sz w:val="22"/>
          <w:szCs w:val="22"/>
          <w:u w:val="single"/>
        </w:rPr>
        <w:fldChar w:fldCharType="end"/>
      </w:r>
    </w:p>
    <w:p w:rsidR="00A75C39" w:rsidRDefault="00A75C39" w:rsidP="00A75C39">
      <w:pPr>
        <w:rPr>
          <w:rFonts w:ascii="Calibri" w:eastAsiaTheme="minorHAnsi" w:hAnsi="Calibri"/>
          <w:sz w:val="22"/>
          <w:szCs w:val="22"/>
          <w:u w:val="single"/>
        </w:rPr>
      </w:pPr>
      <w:r w:rsidRPr="00987A04">
        <w:rPr>
          <w:rFonts w:ascii="Calibri" w:eastAsiaTheme="minorHAnsi" w:hAnsi="Calibri"/>
          <w:b/>
          <w:sz w:val="22"/>
          <w:szCs w:val="22"/>
        </w:rPr>
        <w:t xml:space="preserve">For information about NYS Department of Health Lead Poisoning Prevention, go </w:t>
      </w:r>
      <w:proofErr w:type="gramStart"/>
      <w:r w:rsidRPr="00987A04">
        <w:rPr>
          <w:rFonts w:ascii="Calibri" w:eastAsiaTheme="minorHAnsi" w:hAnsi="Calibri"/>
          <w:b/>
          <w:sz w:val="22"/>
          <w:szCs w:val="22"/>
        </w:rPr>
        <w:t>to:</w:t>
      </w:r>
      <w:proofErr w:type="gramEnd"/>
      <w:r w:rsidRPr="00987A04">
        <w:rPr>
          <w:rFonts w:ascii="Calibri" w:eastAsiaTheme="minorHAnsi" w:hAnsi="Calibri"/>
          <w:sz w:val="22"/>
          <w:szCs w:val="22"/>
        </w:rPr>
        <w:t xml:space="preserve">  </w:t>
      </w:r>
      <w:hyperlink r:id="rId9" w:history="1">
        <w:r w:rsidRPr="00A93619">
          <w:rPr>
            <w:rStyle w:val="Hyperlink"/>
            <w:rFonts w:ascii="Calibri" w:eastAsiaTheme="minorHAnsi" w:hAnsi="Calibri"/>
            <w:sz w:val="22"/>
            <w:szCs w:val="22"/>
          </w:rPr>
          <w:t>http://www.health.ny.gov/environmental/lead/</w:t>
        </w:r>
      </w:hyperlink>
    </w:p>
    <w:p w:rsidR="00A75C39" w:rsidRPr="00987A04" w:rsidRDefault="00A75C39" w:rsidP="00A75C39">
      <w:pPr>
        <w:jc w:val="both"/>
        <w:rPr>
          <w:rFonts w:ascii="Calibri" w:eastAsiaTheme="minorHAnsi" w:hAnsi="Calibri"/>
          <w:sz w:val="22"/>
          <w:szCs w:val="22"/>
        </w:rPr>
      </w:pPr>
    </w:p>
    <w:p w:rsidR="00A75C39" w:rsidRPr="00987A04" w:rsidRDefault="00A75C39" w:rsidP="00A75C39">
      <w:pPr>
        <w:rPr>
          <w:rFonts w:ascii="Calibri" w:eastAsiaTheme="minorHAnsi" w:hAnsi="Calibri"/>
          <w:sz w:val="22"/>
          <w:szCs w:val="22"/>
        </w:rPr>
      </w:pPr>
      <w:r w:rsidRPr="00987A04">
        <w:rPr>
          <w:rFonts w:ascii="Calibri" w:eastAsiaTheme="minorHAnsi" w:hAnsi="Calibri"/>
          <w:b/>
          <w:sz w:val="22"/>
          <w:szCs w:val="22"/>
        </w:rPr>
        <w:t>For more information on blood lead testing and ways to reduce your child’s risk of exposure to lead, see “What Your Child’s Blood Lead Test Means”</w:t>
      </w:r>
      <w:r w:rsidRPr="00987A04">
        <w:rPr>
          <w:rFonts w:ascii="Calibri" w:eastAsiaTheme="minorHAnsi" w:hAnsi="Calibri"/>
          <w:sz w:val="22"/>
          <w:szCs w:val="22"/>
        </w:rPr>
        <w:t>:</w:t>
      </w:r>
    </w:p>
    <w:p w:rsidR="00A75C39" w:rsidRPr="00987A04" w:rsidRDefault="00371CE9" w:rsidP="00A75C39">
      <w:pPr>
        <w:jc w:val="both"/>
        <w:rPr>
          <w:rFonts w:ascii="Calibri" w:eastAsiaTheme="minorHAnsi" w:hAnsi="Calibri"/>
          <w:sz w:val="22"/>
          <w:szCs w:val="22"/>
        </w:rPr>
      </w:pPr>
      <w:hyperlink r:id="rId10" w:history="1">
        <w:r w:rsidR="00A75C39" w:rsidRPr="00A93619">
          <w:rPr>
            <w:rStyle w:val="Hyperlink"/>
            <w:rFonts w:ascii="Calibri" w:eastAsiaTheme="minorHAnsi" w:hAnsi="Calibri"/>
            <w:sz w:val="22"/>
            <w:szCs w:val="22"/>
          </w:rPr>
          <w:t>http://www.health.ny.gov/publications/2526/</w:t>
        </w:r>
      </w:hyperlink>
      <w:r w:rsidR="00A75C39" w:rsidRPr="00987A04">
        <w:rPr>
          <w:rFonts w:ascii="Calibri" w:eastAsiaTheme="minorHAnsi" w:hAnsi="Calibri"/>
          <w:sz w:val="22"/>
          <w:szCs w:val="22"/>
        </w:rPr>
        <w:t xml:space="preserve"> (available in ten languages).</w:t>
      </w:r>
    </w:p>
    <w:p w:rsidR="00EF3195" w:rsidRPr="0078784D" w:rsidRDefault="00EF3195" w:rsidP="00EF3195">
      <w:pPr>
        <w:rPr>
          <w:rFonts w:ascii="Arial" w:hAnsi="Arial" w:cs="Arial"/>
          <w:sz w:val="20"/>
          <w:szCs w:val="20"/>
        </w:rPr>
      </w:pPr>
    </w:p>
    <w:p w:rsidR="00B50194" w:rsidRDefault="00B50194"/>
    <w:sectPr w:rsidR="00B5019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195" w:rsidRDefault="00EF3195" w:rsidP="00EF3195">
      <w:r>
        <w:separator/>
      </w:r>
    </w:p>
  </w:endnote>
  <w:endnote w:type="continuationSeparator" w:id="0">
    <w:p w:rsidR="00EF3195" w:rsidRDefault="00EF3195" w:rsidP="00EF3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195" w:rsidRDefault="00EF3195" w:rsidP="00EF3195">
      <w:r>
        <w:separator/>
      </w:r>
    </w:p>
  </w:footnote>
  <w:footnote w:type="continuationSeparator" w:id="0">
    <w:p w:rsidR="00EF3195" w:rsidRDefault="00EF3195" w:rsidP="00EF3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195" w:rsidRDefault="00EF3195">
    <w:pPr>
      <w:pStyle w:val="Header"/>
    </w:pPr>
    <w:r>
      <w:rPr>
        <w:noProof/>
      </w:rPr>
      <w:drawing>
        <wp:inline distT="0" distB="0" distL="0" distR="0" wp14:anchorId="32DD1844" wp14:editId="66F8B7AD">
          <wp:extent cx="1200150" cy="762000"/>
          <wp:effectExtent l="0" t="0" r="0" b="0"/>
          <wp:docPr id="3" name="Picture 3" descr="DOE_Logo-HiRes-v Far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_Logo-HiRes-v Farina"/>
                  <pic:cNvPicPr>
                    <a:picLocks noChangeAspect="1" noChangeArrowheads="1"/>
                  </pic:cNvPicPr>
                </pic:nvPicPr>
                <pic:blipFill rotWithShape="1">
                  <a:blip r:embed="rId1">
                    <a:extLst>
                      <a:ext uri="{28A0092B-C50C-407E-A947-70E740481C1C}">
                        <a14:useLocalDpi xmlns:a14="http://schemas.microsoft.com/office/drawing/2010/main" val="0"/>
                      </a:ext>
                    </a:extLst>
                  </a:blip>
                  <a:srcRect b="12088"/>
                  <a:stretch/>
                </pic:blipFill>
                <pic:spPr bwMode="auto">
                  <a:xfrm>
                    <a:off x="0" y="0"/>
                    <a:ext cx="1200150" cy="762000"/>
                  </a:xfrm>
                  <a:prstGeom prst="rect">
                    <a:avLst/>
                  </a:prstGeom>
                  <a:noFill/>
                  <a:ln>
                    <a:noFill/>
                  </a:ln>
                  <a:extLst>
                    <a:ext uri="{53640926-AAD7-44D8-BBD7-CCE9431645EC}">
                      <a14:shadowObscured xmlns:a14="http://schemas.microsoft.com/office/drawing/2010/main"/>
                    </a:ext>
                  </a:extLst>
                </pic:spPr>
              </pic:pic>
            </a:graphicData>
          </a:graphic>
        </wp:inline>
      </w:drawing>
    </w:r>
  </w:p>
  <w:p w:rsidR="00EF3195" w:rsidRDefault="00EF31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95"/>
    <w:rsid w:val="00056805"/>
    <w:rsid w:val="00065822"/>
    <w:rsid w:val="00072B51"/>
    <w:rsid w:val="00073EB2"/>
    <w:rsid w:val="00080799"/>
    <w:rsid w:val="00082618"/>
    <w:rsid w:val="00083A2F"/>
    <w:rsid w:val="000D73E4"/>
    <w:rsid w:val="000E6F08"/>
    <w:rsid w:val="000F3FAC"/>
    <w:rsid w:val="000F53F1"/>
    <w:rsid w:val="000F54BC"/>
    <w:rsid w:val="000F67CF"/>
    <w:rsid w:val="001024EB"/>
    <w:rsid w:val="00107095"/>
    <w:rsid w:val="00110108"/>
    <w:rsid w:val="001228D4"/>
    <w:rsid w:val="0014295E"/>
    <w:rsid w:val="0015316D"/>
    <w:rsid w:val="00164EC8"/>
    <w:rsid w:val="00164F99"/>
    <w:rsid w:val="001774D7"/>
    <w:rsid w:val="0018283E"/>
    <w:rsid w:val="00184C16"/>
    <w:rsid w:val="00185ECD"/>
    <w:rsid w:val="00193CD0"/>
    <w:rsid w:val="001A3A3F"/>
    <w:rsid w:val="001B3131"/>
    <w:rsid w:val="001B463E"/>
    <w:rsid w:val="001D1359"/>
    <w:rsid w:val="001E0A44"/>
    <w:rsid w:val="001E734A"/>
    <w:rsid w:val="001F162D"/>
    <w:rsid w:val="00216B33"/>
    <w:rsid w:val="00220221"/>
    <w:rsid w:val="0023096D"/>
    <w:rsid w:val="00234ABF"/>
    <w:rsid w:val="00261E9E"/>
    <w:rsid w:val="002677B5"/>
    <w:rsid w:val="0027742D"/>
    <w:rsid w:val="00291227"/>
    <w:rsid w:val="00295777"/>
    <w:rsid w:val="002C0FEA"/>
    <w:rsid w:val="002C2216"/>
    <w:rsid w:val="002D4CDF"/>
    <w:rsid w:val="002D7718"/>
    <w:rsid w:val="002F286D"/>
    <w:rsid w:val="002F43C3"/>
    <w:rsid w:val="002F6410"/>
    <w:rsid w:val="002F6765"/>
    <w:rsid w:val="00314636"/>
    <w:rsid w:val="00371CE9"/>
    <w:rsid w:val="003A393D"/>
    <w:rsid w:val="003C033E"/>
    <w:rsid w:val="003C7982"/>
    <w:rsid w:val="003D1E4A"/>
    <w:rsid w:val="003F214C"/>
    <w:rsid w:val="00404D5C"/>
    <w:rsid w:val="00410B09"/>
    <w:rsid w:val="00410DDF"/>
    <w:rsid w:val="00435720"/>
    <w:rsid w:val="004453E8"/>
    <w:rsid w:val="00466DC3"/>
    <w:rsid w:val="00477FDD"/>
    <w:rsid w:val="004E3229"/>
    <w:rsid w:val="004E507F"/>
    <w:rsid w:val="00514988"/>
    <w:rsid w:val="005326BA"/>
    <w:rsid w:val="00571F28"/>
    <w:rsid w:val="00584F16"/>
    <w:rsid w:val="005C1416"/>
    <w:rsid w:val="005C6E4D"/>
    <w:rsid w:val="005D46AE"/>
    <w:rsid w:val="005E0EE0"/>
    <w:rsid w:val="005F0B6A"/>
    <w:rsid w:val="005F6F3E"/>
    <w:rsid w:val="00604045"/>
    <w:rsid w:val="006253EA"/>
    <w:rsid w:val="00625DE1"/>
    <w:rsid w:val="00645022"/>
    <w:rsid w:val="00650BEA"/>
    <w:rsid w:val="00665584"/>
    <w:rsid w:val="006813B6"/>
    <w:rsid w:val="006818A4"/>
    <w:rsid w:val="00682C1B"/>
    <w:rsid w:val="00684930"/>
    <w:rsid w:val="0069593B"/>
    <w:rsid w:val="006A17AE"/>
    <w:rsid w:val="006B7C00"/>
    <w:rsid w:val="006D743E"/>
    <w:rsid w:val="006E0946"/>
    <w:rsid w:val="006F2C82"/>
    <w:rsid w:val="006F3951"/>
    <w:rsid w:val="007424CE"/>
    <w:rsid w:val="00785FE1"/>
    <w:rsid w:val="007A05F8"/>
    <w:rsid w:val="007B1FC0"/>
    <w:rsid w:val="007B3290"/>
    <w:rsid w:val="007B6580"/>
    <w:rsid w:val="007C50D5"/>
    <w:rsid w:val="00824C74"/>
    <w:rsid w:val="008327B4"/>
    <w:rsid w:val="008371B6"/>
    <w:rsid w:val="00871BC0"/>
    <w:rsid w:val="00871CC4"/>
    <w:rsid w:val="00876BDC"/>
    <w:rsid w:val="008C14BF"/>
    <w:rsid w:val="008D34AE"/>
    <w:rsid w:val="008D5E05"/>
    <w:rsid w:val="008D7085"/>
    <w:rsid w:val="008E3466"/>
    <w:rsid w:val="00920D0A"/>
    <w:rsid w:val="00931C39"/>
    <w:rsid w:val="009340F1"/>
    <w:rsid w:val="00966C62"/>
    <w:rsid w:val="00972934"/>
    <w:rsid w:val="00972A20"/>
    <w:rsid w:val="009A6C60"/>
    <w:rsid w:val="009B3BED"/>
    <w:rsid w:val="009F18A5"/>
    <w:rsid w:val="00A0489B"/>
    <w:rsid w:val="00A11556"/>
    <w:rsid w:val="00A17E24"/>
    <w:rsid w:val="00A26674"/>
    <w:rsid w:val="00A26AFF"/>
    <w:rsid w:val="00A46AB2"/>
    <w:rsid w:val="00A72703"/>
    <w:rsid w:val="00A75C39"/>
    <w:rsid w:val="00AA6C3D"/>
    <w:rsid w:val="00AC003B"/>
    <w:rsid w:val="00AD01B4"/>
    <w:rsid w:val="00AF01F6"/>
    <w:rsid w:val="00AF6FBC"/>
    <w:rsid w:val="00B0674E"/>
    <w:rsid w:val="00B1383B"/>
    <w:rsid w:val="00B16767"/>
    <w:rsid w:val="00B2770E"/>
    <w:rsid w:val="00B3279B"/>
    <w:rsid w:val="00B34A43"/>
    <w:rsid w:val="00B3540F"/>
    <w:rsid w:val="00B3708F"/>
    <w:rsid w:val="00B40D1D"/>
    <w:rsid w:val="00B41D64"/>
    <w:rsid w:val="00B50194"/>
    <w:rsid w:val="00B76606"/>
    <w:rsid w:val="00B870AC"/>
    <w:rsid w:val="00B9109C"/>
    <w:rsid w:val="00B959A3"/>
    <w:rsid w:val="00B97E1E"/>
    <w:rsid w:val="00BF2E31"/>
    <w:rsid w:val="00BF5EEB"/>
    <w:rsid w:val="00C029F9"/>
    <w:rsid w:val="00C04B82"/>
    <w:rsid w:val="00C22070"/>
    <w:rsid w:val="00C2295C"/>
    <w:rsid w:val="00C65767"/>
    <w:rsid w:val="00C71D8E"/>
    <w:rsid w:val="00C7244F"/>
    <w:rsid w:val="00C73B4B"/>
    <w:rsid w:val="00C810D5"/>
    <w:rsid w:val="00C85301"/>
    <w:rsid w:val="00C96145"/>
    <w:rsid w:val="00CA000F"/>
    <w:rsid w:val="00CB1BF7"/>
    <w:rsid w:val="00CB473A"/>
    <w:rsid w:val="00CC3A20"/>
    <w:rsid w:val="00D05290"/>
    <w:rsid w:val="00D07D9B"/>
    <w:rsid w:val="00D17593"/>
    <w:rsid w:val="00D34B05"/>
    <w:rsid w:val="00D4382A"/>
    <w:rsid w:val="00D64F73"/>
    <w:rsid w:val="00D665F7"/>
    <w:rsid w:val="00DA1B13"/>
    <w:rsid w:val="00DA67B2"/>
    <w:rsid w:val="00DB1DB8"/>
    <w:rsid w:val="00DB5CC6"/>
    <w:rsid w:val="00DB69C0"/>
    <w:rsid w:val="00DC32A3"/>
    <w:rsid w:val="00DC3FBA"/>
    <w:rsid w:val="00DD6E49"/>
    <w:rsid w:val="00DE0908"/>
    <w:rsid w:val="00DE51C4"/>
    <w:rsid w:val="00E06E90"/>
    <w:rsid w:val="00E07A80"/>
    <w:rsid w:val="00E33172"/>
    <w:rsid w:val="00E34E8E"/>
    <w:rsid w:val="00E37CB9"/>
    <w:rsid w:val="00E40F04"/>
    <w:rsid w:val="00E44B0E"/>
    <w:rsid w:val="00E46FF5"/>
    <w:rsid w:val="00E473BD"/>
    <w:rsid w:val="00E60ED9"/>
    <w:rsid w:val="00E74A23"/>
    <w:rsid w:val="00E927A9"/>
    <w:rsid w:val="00E94644"/>
    <w:rsid w:val="00E94779"/>
    <w:rsid w:val="00E9751F"/>
    <w:rsid w:val="00EA735E"/>
    <w:rsid w:val="00EB0679"/>
    <w:rsid w:val="00EB1B44"/>
    <w:rsid w:val="00EE5C3E"/>
    <w:rsid w:val="00EF3195"/>
    <w:rsid w:val="00F14811"/>
    <w:rsid w:val="00F32006"/>
    <w:rsid w:val="00F32384"/>
    <w:rsid w:val="00F3536D"/>
    <w:rsid w:val="00F478E0"/>
    <w:rsid w:val="00F6043E"/>
    <w:rsid w:val="00F65951"/>
    <w:rsid w:val="00F667D2"/>
    <w:rsid w:val="00F741B1"/>
    <w:rsid w:val="00F85D65"/>
    <w:rsid w:val="00F947F4"/>
    <w:rsid w:val="00FA4065"/>
    <w:rsid w:val="00FA75CE"/>
    <w:rsid w:val="00FB37C6"/>
    <w:rsid w:val="00FD391C"/>
    <w:rsid w:val="00FD39F8"/>
    <w:rsid w:val="00FE5FB2"/>
    <w:rsid w:val="00FF1BC2"/>
    <w:rsid w:val="00FF2D90"/>
    <w:rsid w:val="00FF4F2C"/>
    <w:rsid w:val="00FF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6E2EC-1653-43A0-962C-E43D00E9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1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195"/>
    <w:rPr>
      <w:color w:val="0563C1" w:themeColor="hyperlink"/>
      <w:u w:val="single"/>
    </w:rPr>
  </w:style>
  <w:style w:type="table" w:styleId="TableGrid">
    <w:name w:val="Table Grid"/>
    <w:basedOn w:val="TableNormal"/>
    <w:uiPriority w:val="39"/>
    <w:rsid w:val="00EF31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195"/>
    <w:pPr>
      <w:tabs>
        <w:tab w:val="center" w:pos="4680"/>
        <w:tab w:val="right" w:pos="9360"/>
      </w:tabs>
    </w:pPr>
  </w:style>
  <w:style w:type="character" w:customStyle="1" w:styleId="HeaderChar">
    <w:name w:val="Header Char"/>
    <w:basedOn w:val="DefaultParagraphFont"/>
    <w:link w:val="Header"/>
    <w:uiPriority w:val="99"/>
    <w:rsid w:val="00EF31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3195"/>
    <w:pPr>
      <w:tabs>
        <w:tab w:val="center" w:pos="4680"/>
        <w:tab w:val="right" w:pos="9360"/>
      </w:tabs>
    </w:pPr>
  </w:style>
  <w:style w:type="character" w:customStyle="1" w:styleId="FooterChar">
    <w:name w:val="Footer Char"/>
    <w:basedOn w:val="DefaultParagraphFont"/>
    <w:link w:val="Footer"/>
    <w:uiPriority w:val="99"/>
    <w:rsid w:val="00EF31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nyc.gov/about-us/reports/water-safet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hools.nyc.gov/about-us/reports/water-safety"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health.ny.gov/publications/2526/" TargetMode="External"/><Relationship Id="rId4" Type="http://schemas.openxmlformats.org/officeDocument/2006/relationships/footnotes" Target="footnotes.xml"/><Relationship Id="rId9" Type="http://schemas.openxmlformats.org/officeDocument/2006/relationships/hyperlink" Target="http://www.health.ny.gov/environmental/l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Trigo Lauren</dc:creator>
  <cp:keywords/>
  <dc:description/>
  <cp:lastModifiedBy>Trigo Lauren</cp:lastModifiedBy>
  <cp:revision>2</cp:revision>
  <dcterms:created xsi:type="dcterms:W3CDTF">2018-11-21T16:39:00Z</dcterms:created>
  <dcterms:modified xsi:type="dcterms:W3CDTF">2018-11-21T16:39:00Z</dcterms:modified>
</cp:coreProperties>
</file>